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C1" w:rsidRPr="00704A9D" w:rsidRDefault="00605FC1" w:rsidP="00605FC1">
      <w:pPr>
        <w:spacing w:after="240" w:line="300" w:lineRule="atLeast"/>
        <w:jc w:val="left"/>
        <w:rPr>
          <w:rFonts w:ascii="Times New Roman" w:hAnsi="Times New Roman"/>
          <w:color w:val="1C283D"/>
          <w:sz w:val="24"/>
          <w:szCs w:val="24"/>
        </w:rPr>
      </w:pPr>
      <w:bookmarkStart w:id="0" w:name="_GoBack"/>
      <w:bookmarkEnd w:id="0"/>
      <w:r w:rsidRPr="00704A9D">
        <w:rPr>
          <w:rFonts w:ascii="Times New Roman" w:hAnsi="Times New Roman"/>
          <w:color w:val="1C283D"/>
          <w:sz w:val="24"/>
          <w:szCs w:val="24"/>
        </w:rPr>
        <w:t>Resmi Gazete Tarihi: 24.10.2013 Resmi Gazete Sayısı: 28801</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TEHLİKELİ MADDELERİN KARAYOLUYLA TAŞINMASI HAKKINDA YÖNETMELİK</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BİRİNCİ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Amaç, Kapsam, Dayanak ve Tanımlar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Amaç</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w:t>
      </w:r>
      <w:r w:rsidRPr="00704A9D">
        <w:rPr>
          <w:rFonts w:ascii="Times New Roman" w:hAnsi="Times New Roman"/>
          <w:color w:val="1C283D"/>
          <w:sz w:val="24"/>
          <w:szCs w:val="24"/>
        </w:rPr>
        <w:t xml:space="preserve"> – (1) Bu Yönetmeliğin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Kapsam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w:t>
      </w:r>
      <w:r w:rsidRPr="00704A9D">
        <w:rPr>
          <w:rFonts w:ascii="Times New Roman" w:hAnsi="Times New Roman"/>
          <w:color w:val="1C283D"/>
          <w:sz w:val="24"/>
          <w:szCs w:val="24"/>
        </w:rPr>
        <w:t xml:space="preserve"> – (1) Bu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Karayolu ile yapılan tehlikeli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Türkiye sınırları içerisindeki karayolları üzerinde yabancı plakalı taşıtlarla yapılan uluslararası taşımaları,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11/6/2009 tarihli ve 27255 sayılı Resmî Gazete’de yayımlanan Karayolu Taşıma Yönetmeliği kapsamında yetki belgesi alma zorunluluğundan muaf olan ve kendi iştigal konusu ile ilgili özmal taşıtlarıyla tehlikeli madde taşımacılığı yapan veya yapacak kamu kurum ve kuruluşlarını,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Türk Silahlı Kuvvetler (Jandarma Genel Komutanlığı dahil) adına yapılan, ancak silahlı kuvvetlerin doğrudan sorumluluğu veya danışmanlığı altında olmayan, ticari yükleniciler tarafından yapılan tehlikeli mal taşımacılığını,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kapsar.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Bu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Uluslararası anlaşmalar ile savaş hali ve olağanüstü hallerde uygulanacak mevzuat hükümlerine göre yapılan taşıma işlemlerini,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Türk Silahlı Kuvvetlerine (Jandarma Genel Komutanlığı dahil) ait olan ya da Türk Silahlı Kuvvetlerinin temsilcilerinin refakat ettiği taşıtlarla yapılan taşıma işlemlerini,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Emniyet Genel Müdürlüğüne ait olan ya da Emniyet Genel Müdürlüğü temsilcilerinin refakat ettiği taşıtlarla yapılan taşıma işlemlerini,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kapsamaz.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Dayanak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w:t>
      </w:r>
      <w:r w:rsidRPr="00704A9D">
        <w:rPr>
          <w:rFonts w:ascii="Times New Roman" w:hAnsi="Times New Roman"/>
          <w:color w:val="1C283D"/>
          <w:sz w:val="24"/>
          <w:szCs w:val="24"/>
        </w:rPr>
        <w:t xml:space="preserve"> – (1) Bu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26/9/2011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30/11/2005 tarihli ve 5434 sayılı Kanun ile kabul edilen Tehlikeli Malların Karayolu ile Uluslararası Taşımacılığına İlişkin Avrupa Anlaşmasına paralel olarak,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hazırlanmıştır.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Tanımlar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w:t>
      </w:r>
      <w:r w:rsidRPr="00704A9D">
        <w:rPr>
          <w:rFonts w:ascii="Times New Roman" w:hAnsi="Times New Roman"/>
          <w:color w:val="1C283D"/>
          <w:sz w:val="24"/>
          <w:szCs w:val="24"/>
        </w:rPr>
        <w:t xml:space="preserve"> – (1) Bu Yönetmelikte geçen;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ADR: Tehlikeli Malların Karayolu ile Uluslararası Taşımacılığına İlişkin Avrupa Anlaşmasını,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Alıcı: Taşıma evrakı, sevk irsaliyesi, taşıma irsaliyesi veya taşıma senedinde belirtilen eşyanın teslim edileceği işletmeyi,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ADR Uygunluk Belgesi/Taşıt Uygunluk Belgesi: ADR Bölüm 9.1.3’te belirlenen ve taşıtın tescil edildiği ülkenin yetkili otoritesi veya yetkili otorite tarafından yetkilendirilen kuruluş tarafından verilen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ç) Bakanlık: Ulaştırma, Denizcilik ve Haberleşme Bakanlığını,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Boşaltan: Paketli veya dökme olarak taşınan tehlikeli maddeleri taşıt, tank veya konteynerlerden boşaltan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Çok bölmeli gaz konteyneri: Bir bağlantı elemanıyla birbirine bağlanan ve sabit bir yüzeye tutturulmuş birden fazla bölümler veya elemanlar içeren yapıyı,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Dolduran: Tehlikeli maddeleri; tanklara, tankerlere, mobil tanklara ya da tank konteynerlere, tüplü gaz tankerlerine, çok bölmeli gaz konteynerine, bir araca veya büyük veya küçük bir konteynere dökme olarak dolum yapan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Gaz: ADR Bölüm 2.2.2.1.2’de ifade edilen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ğ) </w:t>
      </w:r>
      <w:r w:rsidRPr="00704A9D">
        <w:rPr>
          <w:rFonts w:ascii="Times New Roman" w:hAnsi="Times New Roman"/>
          <w:b/>
          <w:bCs/>
          <w:color w:val="1C283D"/>
          <w:sz w:val="24"/>
          <w:szCs w:val="24"/>
        </w:rPr>
        <w:t xml:space="preserve">(Değişik:RG-27/8/2014-29101) </w:t>
      </w:r>
      <w:r w:rsidRPr="00704A9D">
        <w:rPr>
          <w:rFonts w:ascii="Times New Roman" w:hAnsi="Times New Roman"/>
          <w:color w:val="1C283D"/>
          <w:sz w:val="24"/>
          <w:szCs w:val="24"/>
        </w:rPr>
        <w:t>Gönderen: Eşyayı taşımacıya teslim eden, alıcıyı belirleyen ve taşıma evrakını imzalayan kişiyi veya taşıma işlemi bir taşıma sözleşmesine bağlı olarak yürütülüyorsa sözleşmede “Gönderen” olarak belirtilen kişiyi,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IMDG Kod: Tehlikeli yüklerin denizyoluyla taşınmasına ilişkin uluslararası kodu,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İstiap haddi/Taşıma kapasitesi: Bir taşıtın veya aracın güvenle taşıyabileceği ve imalat standardında belirtilen en çok yük ağırlığı ve hizmetli sayısını,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İşletme: Kamu kurum ve kuruluşları da dahil olmak üzere, kâr amacı bulunup bulunmadığına bakılmaksızın bu Yönetmelik kapsamındaki faaliyetlerde bulunan gerçek ve tüzel kişileri,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Kanun: 4925 sayılı Karayolu Taşıma Kanununu,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l) Meskun mahal: İl, ilçe, kasaba, köy, toplu işyeri veya sanayi bölgeleri gibi insanların topluca yaşadıkları alanları ve bu alanların bitiminden 500 metreye kadar olan mesafeyi,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m) Özmal taşıt: Araç tescil belgesinde yetki belgesi sahibi adına kayıtlı taşıtı,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n) Paketleyen: Tehlikeli maddeleri, büyük paketler ve orta boy hacimli konteynerler de dahil olmak üzere, değişik cinsteki kaplara yerleştiren ve gerektiğinde paketleri taşınmak üzere hazır hale getiren, tehlikeli maddeleri paketleten ya da bu malların paketlerini, etiketlerini değiştiren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Patlayıcı madde: ADR Bölüm 2.2.1’de ifade edilen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ö) Tank-konteyner/taşınabilir tank işletmecisi: Tank konteyner, taşınabilir tank ya da tankerlerin, adına kayıtlı olduğu ya da bunları bir sözleşmeye dayalı olarak işleten işletmecileri,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p) Taşıma evrakı: ADR Bölüm 5.4.1’deki bilgileri içerecek şekilde gönderen tarafından düzenlenmiş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s) </w:t>
      </w:r>
      <w:r w:rsidRPr="00704A9D">
        <w:rPr>
          <w:rFonts w:ascii="Times New Roman" w:hAnsi="Times New Roman"/>
          <w:b/>
          <w:bCs/>
          <w:color w:val="1C283D"/>
          <w:sz w:val="24"/>
          <w:szCs w:val="24"/>
        </w:rPr>
        <w:t xml:space="preserve">(Değişik:RG-27/8/2014-29101) </w:t>
      </w:r>
      <w:r w:rsidRPr="00704A9D">
        <w:rPr>
          <w:rFonts w:ascii="Times New Roman" w:hAnsi="Times New Roman"/>
          <w:color w:val="1C283D"/>
          <w:sz w:val="24"/>
          <w:szCs w:val="24"/>
        </w:rPr>
        <w:t>Taşımacı: Karayolu Taşıma Yönetmeliğine göre C1, C2, K1, K2, L1, L2, M1, M2, M3, N1, N2, R1, R2 yetki belgesi sahiplerini,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ş) Taşınabilir basınçlı ekipman: Bilim, Sanayi ve Teknoloji Bakanlığının 31/12/2012 tarihli ve 28514  4 üncü mükerrer sayılı Resmî Gazete’de yayımlanan Taşınabilir Basınçlı Ekipmanlar Yönetmeliği (2010/35/AB)’nde tanımlanan kapları,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u) Tehlike etiketi: Tehlikeli yük taşımacılığında kullanılan ambalajlardaki yüklerin, sınıf, tehlike derecesi ve muhteviyatı gibi özelliklerini ifade eden harf, rakam ve şekillerin yer aldığı etiketi,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ü) Tehlikeli madde (Tehlikeli yük): ADR Bölüm 3.2’deki tehlikeli malların listelendiği Tablo A’da yer alan maddeleri,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v) Tehlikeli madde güvenlik danışmanı: İfa edeceği görev ve nitelikleri ADR Bölüm 1.8.3’te belirtilen ve alması gereken eğitime istinaden Bakanlıkça yetkilendirilmiş gerçek kişiyi,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 Turuncu plaka: ADR Bölüm 5.3.2.2’de tanımlanan özellikteki plakaları,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z) Tüplü gaz tankeri: Birbirine manifoltlarla bağlı ve bu araca kalıcı olarak sabitlenmiş 450 litreden fazla kapasiteli tanklardan oluşan bir aracı,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aa) UN numarası: ADR Bölüm 3.2’de Tablo A’da yer alan tehlikeli maddeleri tanımlayan dört basamaklı Birleşmiş Milletler Numarasını,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bb)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çç) Yükleyen: Paketli veya dökme tehlikeli maddelerin içerisinde bulunduğu ambalaj, konteyner veya portatif tankları bir aracın içine veya üzerine veya bir konteynerin içine yükleyen işletmeleri,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ifade eder.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İKİNCİ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Taşımacılık Faaliyetlerine İlişkin Genel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Taşımacılık faaliyetlerinde genel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5</w:t>
      </w:r>
      <w:r w:rsidRPr="00704A9D">
        <w:rPr>
          <w:rFonts w:ascii="Times New Roman" w:hAnsi="Times New Roman"/>
          <w:color w:val="1C283D"/>
          <w:sz w:val="24"/>
          <w:szCs w:val="24"/>
        </w:rPr>
        <w:t xml:space="preserve"> – (1) Tehlikeli maddeler kamuya açık karayolunda, bu Yönetmelik ve ADR hükümlerine uygun olarak ekonomik, kontrollü, seri, güvenli, insan sağlığına zarar vermeden ve çevreye olumsuz etkisi en az olacak şekilde taşınır.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ADR Bölüm 3.2 Tablo A ve Bölüm 3.3’te belirtilen taşınması yasaklanan tehlikeli maddeler taşınamaz.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(4) </w:t>
      </w:r>
      <w:r w:rsidRPr="00704A9D">
        <w:rPr>
          <w:rFonts w:ascii="Times New Roman" w:hAnsi="Times New Roman"/>
          <w:b/>
          <w:bCs/>
          <w:color w:val="1C283D"/>
          <w:sz w:val="24"/>
          <w:szCs w:val="24"/>
        </w:rPr>
        <w:t xml:space="preserve">(Değişik:RG-27/8/2014-29101) </w:t>
      </w:r>
      <w:r w:rsidRPr="00704A9D">
        <w:rPr>
          <w:rFonts w:ascii="Times New Roman" w:hAnsi="Times New Roman"/>
          <w:color w:val="1C283D"/>
          <w:sz w:val="24"/>
          <w:szCs w:val="24"/>
        </w:rPr>
        <w:t>Tehlikeli maddelerin karayolu ile taşınmasında; ADR Bölüm 6’da tanımlanan ve Bakanlıkça veya ADR’ye taraf bir ülkenin yetkili otoritesince yetkilendirilmiş kuruluşlar tarafından test edilip UN Numarası verilerek sertifikalandırılmış olan ambalajların kullanılması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Tehlikeli madde taşımacılığında ADR’de tanımlanan etiket, işaret ve turuncu plakaların kullanılması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Yetki belgesi sahibi olma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6</w:t>
      </w:r>
      <w:r w:rsidRPr="00704A9D">
        <w:rPr>
          <w:rFonts w:ascii="Times New Roman" w:hAnsi="Times New Roman"/>
          <w:color w:val="1C283D"/>
          <w:sz w:val="24"/>
          <w:szCs w:val="24"/>
        </w:rPr>
        <w:t xml:space="preserve"> – (1) </w:t>
      </w:r>
      <w:r w:rsidRPr="00704A9D">
        <w:rPr>
          <w:rFonts w:ascii="Times New Roman" w:hAnsi="Times New Roman"/>
          <w:b/>
          <w:bCs/>
          <w:color w:val="1C283D"/>
          <w:sz w:val="24"/>
          <w:szCs w:val="24"/>
        </w:rPr>
        <w:t xml:space="preserve">(Değişik:RG-27/8/2014-29101) </w:t>
      </w:r>
      <w:r w:rsidRPr="00704A9D">
        <w:rPr>
          <w:rFonts w:ascii="Times New Roman" w:hAnsi="Times New Roman"/>
          <w:color w:val="1C283D"/>
          <w:sz w:val="24"/>
          <w:szCs w:val="24"/>
        </w:rPr>
        <w:t>Bu Yönetmelik kapsamında taşımacılık faaliyetinde bulunacak gerçek ve tüzel kişiler, Karayolu Taşıma Yönetmeliğine göre C1, C2, K1, K2, L1, L2, M1, M2, M3, N1, N2, R1, R2 yetki belgelerinden herhangi birine sahip olmak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Kendi faaliyetleri ile ilgili olarak özmal araçlarıyla ticari olmayan taşıma yapacak kamu kurum ve kuruluşlarının; tehlikeli madde taşımaları için bu Yönetmeliğe uymak kaydı ile Karayolu Taşıma Yönetmeliği kapsamında herhangi bir yetki belgesine sahip olmaları gerekmez.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Bu Yönetmelik ve ADR’ye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Taşıt uygunluk belgesi ve izin alma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7</w:t>
      </w:r>
      <w:r w:rsidRPr="00704A9D">
        <w:rPr>
          <w:rFonts w:ascii="Times New Roman" w:hAnsi="Times New Roman"/>
          <w:color w:val="1C283D"/>
          <w:sz w:val="24"/>
          <w:szCs w:val="24"/>
        </w:rPr>
        <w:t xml:space="preserve">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ADR Bölüm 3.2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(3) Bakanlık, ADR Bölüm 9’da tanımlanan taşıtların, dönemsel teknik muayenelerinin yapılması ve bunun sonucunda ADR Uygunluk Belgesinin geçerlilik süresinin uzatılmasına yönelik olarak ayrı bir düzenleme yapar.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mal taşımacılığı sürücü eğitim sertifikası alma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8</w:t>
      </w:r>
      <w:r w:rsidRPr="00704A9D">
        <w:rPr>
          <w:rFonts w:ascii="Times New Roman" w:hAnsi="Times New Roman"/>
          <w:color w:val="1C283D"/>
          <w:sz w:val="24"/>
          <w:szCs w:val="24"/>
        </w:rPr>
        <w:t xml:space="preserve">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taşıyan araçlarda bulundurulması gerekli olan belgeler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9</w:t>
      </w:r>
      <w:r w:rsidRPr="00704A9D">
        <w:rPr>
          <w:rFonts w:ascii="Times New Roman" w:hAnsi="Times New Roman"/>
          <w:color w:val="1C283D"/>
          <w:sz w:val="24"/>
          <w:szCs w:val="24"/>
        </w:rPr>
        <w:t xml:space="preserve"> – (1) Tehlikeli madde taşıyan araçlarda aşağıdaki belgelerin bulundurulması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ADR Bölüm 5.4.1’de belirtildiği şekilde düzenlenen taşıma evrakı,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ADR Bölüm 8.2.2.8’de belirtildiği şekilde Tehlikeli Madde Taşımacılığı Sürücü Eğitim Sertifikası (SRC5),</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Araçta görevli her personel için resimli kimlik belgesi (nüfus cüzdanı, sürücü belgesi veya pasaport),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ADR Bölüm 5.4.3’te belirtildiği şekilde, taşımacı tarafından sürücüye verilmek üzere hazırlanan yazılı talimat,</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Birden fazla modla taşınan tehlikeli yükler için ADR Bölüm 5.4.5’teki Çok Modlu Tehlikeli Mal Taşıma Formu,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Taşıtlar için geçerli ADR uygunluk belgesi,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ADR’de tanımlanan Sınıf 1, Sınıf 6 ve Sınıf 7 tehlikeli yüklerin taşınmasında, bu Yönetmelik kapsamında belirlenen ilgili/yetkili mercilerden alınmış taşıma izin belgesinin fotokopisi,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Tehlikeli madde taşımacılığı yapan taşıtlara ait Tehlikeli Maddeler ve Tehlikeli Atık Zorunlu Mali Sorumluluk Sigortası poliçesi.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ÜÇÜNCÜ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Taşımacılık Faaliyetinde Yer Alan Tarafların Hak, Sorumluluk ve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Gönderenin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xml:space="preserve">MADDE 10 </w:t>
      </w:r>
      <w:r w:rsidRPr="00704A9D">
        <w:rPr>
          <w:rFonts w:ascii="Times New Roman" w:hAnsi="Times New Roman"/>
          <w:color w:val="1C283D"/>
          <w:sz w:val="24"/>
          <w:szCs w:val="24"/>
        </w:rPr>
        <w:t>– (1) Gönderen, taşınmak üzere sevk edilen malı ADR hükümlerine uygun bir biçimde teslim etmek zorundadır. Ayrıca gönderen;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Tehlikeli maddelerin taşınmasının, Bakanlıktan uygun yetki belgesi almış olanlarca yapılmasını ve özel izin gereken durumlarda bu iznin alınmış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Tehlikeli malların ADR hükümlerine uygun olarak sınıflandırılmış bir şekilde taşınmasını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Taşımacıya ADR Bölüm 5.4.3’te belirtildiği şekilde hazırlanmış yazılı talimatı ve taşıma için gerekli olan; taşıma evrakı, izinler, onaylar, bildiriler, sertifikalar ve diğer belgeleri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Yükün yapısına ve özelliklerine uygun araç kullanılmasını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Taşıma şekli ve taşıma kısıtlamalarına uygun hareket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Boş durumdaki temizlenmemiş ve dezenfekte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İzlenecek güzergâhlar ile ilgili gerekli bilgileri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ADR Bölüm 1.4.2.1’de yer alan diğer yükümlülükleri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Paketleyenin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11</w:t>
      </w:r>
      <w:r w:rsidRPr="00704A9D">
        <w:rPr>
          <w:rFonts w:ascii="Times New Roman" w:hAnsi="Times New Roman"/>
          <w:color w:val="1C283D"/>
          <w:sz w:val="24"/>
          <w:szCs w:val="24"/>
        </w:rPr>
        <w:t xml:space="preserve"> – (1) Paketleyen ADR’nin;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Paketleme ve birlikte paketleme ile ilgili mevzuatına ve kurallarına,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Paketleri taşınmaya hazırlıyorsa, paketleri işaretleme ve etiketleme ile ilgili mevzuatına ve kurallarına,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1.4.3.2’de yer alan diğer kurallarına,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uymakla 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Yükleyenin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12</w:t>
      </w:r>
      <w:r w:rsidRPr="00704A9D">
        <w:rPr>
          <w:rFonts w:ascii="Times New Roman" w:hAnsi="Times New Roman"/>
          <w:color w:val="1C283D"/>
          <w:sz w:val="24"/>
          <w:szCs w:val="24"/>
        </w:rPr>
        <w:t xml:space="preserve"> – (1) Yükleyen;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a) Tehlikeli maddeleri, ancak ADR hükümlerine uygun şartların sağlanmış olması halinde taşıta yüklemekle,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Paketlenmiş tehlikeli maddeleri ya da temizlenmemiş boş paketleri taşımacıya verirken paketlerin zarar görüp görmediğini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Hasarlı veya sızdırma riski taşıyan ya da boş temizlenmemiş tehlikeli madde paketini hasar giderilene kadar yüklememekle,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Tehlikeli maddelerin yüklenmesi ve elleçlenmesi ile ilgili mevzuata ve özel kurallara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Paketler ve ekipman üzerinde bulunması gereken tehlike işaretleri ve etiketlerin bulunmasını ve bulundurulmasını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Tehlikeli maddeleri konteynere yükledikten sonra konteynerin gerekli tehlike işaretleri ile işaretlenmesini ve etiketlendirilmesini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Paketleri yüklerken, araç içinde var olan diğer yükleri de göz önüne alarak, birlikte yükleme yasaklarına ve ayrıca besin ve gıda maddelerinin ya da hayvan yemlerinin ayrı tutulması kurallarına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Taşınan tehlikeli madde, maddenin UN Numarası, taşımada kullanılan resmi adı ve eğer mümkünse paketleme grubu ile ilgili olarak sürücüyü bilgilendirmekle,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ADR Bölüm 3.4’e göre sınırlı miktarda ambalajlanan tehlikeli maddelere ilişkin muafiyetler kapsamında taşıma yapılıyorsa; paketlerin üzerine sınırlı miktar etiketi ve UN numarasını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Tehlikeli maddeleri yükleyecek personelin bu konuda eğitim almış olmasını sağlamak ve gerektiğinde bu eğitim belgelerini ibraz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Araçlara yüklenecek tehlikeli maddelerin ADR Bölüm 7.5.7’de belirtilen yükleme emniyet kurallarına göre yapılmasını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ADR Bölüm 1.4.3.1’de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Dolduranın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13</w:t>
      </w:r>
      <w:r w:rsidRPr="00704A9D">
        <w:rPr>
          <w:rFonts w:ascii="Times New Roman" w:hAnsi="Times New Roman"/>
          <w:color w:val="1C283D"/>
          <w:sz w:val="24"/>
          <w:szCs w:val="24"/>
        </w:rPr>
        <w:t xml:space="preserve"> – (1) Dolduran;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Dolum öncesinde, tankların ve gerekli ekipmanın teknik olarak eksiksiz ve taşımaya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Tehlikeli madde taşınmasında kullanılan taşıtların, tankların ve ekipmanın test, muayene ve kontrol sürelerinin geçerliliğini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Dolumu yapılacak tehlikeli maddelere uygun olan ve bu hususta uygunluk belgesi bulunan tanklara dolum yapmakla,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Dolum esnasında birlikte yükleme kurallarına uygun hareket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Doldurulan madde için izin verilen azami doldurma oranını (doldurma derecesi) ve azami dolum hacim oranını geçmemekle,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Dolumu yaptıktan sonra tankın kapak bölümlerinin sızdırmazlığını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Doldurulan tehlikeli maddelerin tankın dış yüzeyine bulaşmadığını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ADR Bölüm 1.4.3.3’te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Taşımacının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14</w:t>
      </w:r>
      <w:r w:rsidRPr="00704A9D">
        <w:rPr>
          <w:rFonts w:ascii="Times New Roman" w:hAnsi="Times New Roman"/>
          <w:color w:val="1C283D"/>
          <w:sz w:val="24"/>
          <w:szCs w:val="24"/>
        </w:rPr>
        <w:t xml:space="preserve"> – (1) Taşımacı;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Taşınacak olan tehlikeli maddelerin taşınma aşamasında bu Yönetmelik hükümlerine uygun olduğunu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Taşıma için gerekli olan tüm belgelerin taşıtta eksiksiz ve doğru olarak bulunmasını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c) Taşıtlarda, mobil tanklarda ve yüklerde görsel olarak belirgin sızıntı, çatlak ya da eksik ekipman 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Tanker, mobil tank, tüplü gaz tankeri, çok bölmeli gaz konteyneri, hareketli tank ve tank konteynerlerin test, muayene ve kontrol sürelerinin dolup dolmadığını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Taşıtların istiap hadlerine uygun olarak yüklenmesini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 etiketlerinin ve işaretlerinin taşıtların üstüne takılmasını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Araç sürücüsü için yazılı talimatlarda belirtilmiş olan teçhizatların araçta bulunmasını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Taşıma belgeleri ve beraberinde bulunması gereken belgeleri incelemek ve taşıt, konteyner ve yükün bunlara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Tankerlerin ADR’de tanımlanmış olan amaçların dışında kullanılmasını önlemekle,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Sürücüye yazılı talimatları vererek okumasını ve anlamasını ve gerektiği şekilde uygulayabilmesini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Taşınan madde ile ilgili varsa miktar sınırlamalarına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Taşınan tehlikeli maddenin özelliğine uygun ve geçerli Tehlikeli Mal Taşımacılığı Sürücü Eğitim Sertifikası (SRC5)/ADR Şoför Eğitim Sertifikasına sahip sürücüleri istihdam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j) Yaptığı taşımalarda meydana gelen kazalarla ilgili olarak, ADR hükümlerine göre hazırlanmış bir raporu kaza tarihinden itibaren en geç otuz gün içerisinde Bakanlığa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k) Bu Yönetmelikte belirtilen şartlardan herhangi birinin ihlal edilmiş olduğunu tespit ederse, söz konusu ihlal giderilinceye kadar taşımayı başlatmamakla,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m) Yüke uygun olan tank veya konteynerlerin kullanılmasını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ADR Bölüm 1.4.2.2’de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Taşıt sürücüsünün ve araçta bulunan diğer görevlilerin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15</w:t>
      </w:r>
      <w:r w:rsidRPr="00704A9D">
        <w:rPr>
          <w:rFonts w:ascii="Times New Roman" w:hAnsi="Times New Roman"/>
          <w:color w:val="1C283D"/>
          <w:sz w:val="24"/>
          <w:szCs w:val="24"/>
        </w:rPr>
        <w:t xml:space="preserve"> – (1) Taşıt sürücüsü ve araçta bulunan diğer görevliler;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Yangın söndürme cihazlarının kullanımı konusunda bilgi sahibi olmakla,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Tehlikeli madde içeren ambalajları açmamakla,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Taşınabilir yanıcı aydınlatma aletleriyle ve yüzeyi metal alaşımlı olan aletlerle taşıta binmemekle,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Yükleme, doldurma ve boşaltma sırasında zorunlu hallerin dışında taşıtın motorunu kapalı tutmakla,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Tehlikeli madde yüklü taşıtı park halinde iken el frenini çekili vaziyette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Ambalajı hasar görmüş olan paketleri taşımamakla,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Tehlikeli madde sızıntısı olması veya böyle bir ihtimalin bulunması durumunda, taşıma yapmamakla,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h) Tehlikeli madde yüklü veya tehlikeli maddeyi boşalttığı halde temizlenmemiş taşıtları, doldurma ve boşaltma süresi dışında, meskûn mahallerde park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ı) Karayolunun kullanımıyla ilgili yasak ve sınırlamalara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 Taşıtın istiap haddine uygun yüklendiğini kontrol etmek ve istiap haddinin üstünde yüklenmiş olan taşıtı kullanmamakla,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 xml:space="preserve">j) </w:t>
      </w:r>
      <w:r w:rsidRPr="00704A9D">
        <w:rPr>
          <w:rFonts w:ascii="Times New Roman" w:hAnsi="Times New Roman"/>
          <w:b/>
          <w:bCs/>
          <w:color w:val="1C283D"/>
          <w:sz w:val="24"/>
          <w:szCs w:val="24"/>
        </w:rPr>
        <w:t xml:space="preserve">(Mülga:RG-27/8/2014-29101)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k) Tankların kullanımı, motorun çalıştırılması ve özel sınıf veya maddelere ilişkin ek gereklilikler ile ilgili ADR hükümlerine uymakla,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l) Tehlike anında yazılı talimatlarda belirtilen tedbirleri almakla,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n) Taşıma sırasında gerekli belgeleri ve ekipmanı yanında bulundurmakla,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o) Tünel, tüp geçit ve köprü geçişlerinde trafiğin durması halinde, ikaz ışıklarını yakmak, taşıtın ön ve arkasındaki taşıtlarla olan güvenlik mesafesine dikkat etmek ve motoru kapatmakla,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ö) Boşaltım alanında güvenlik önlemlerinin tam olarak alınmış olduğunu ve boşaltma işleminde kullanılan donanımın düzgün olarak çalışıyor olduğunu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Alıcının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16</w:t>
      </w:r>
      <w:r w:rsidRPr="00704A9D">
        <w:rPr>
          <w:rFonts w:ascii="Times New Roman" w:hAnsi="Times New Roman"/>
          <w:color w:val="1C283D"/>
          <w:sz w:val="24"/>
          <w:szCs w:val="24"/>
        </w:rPr>
        <w:t xml:space="preserve"> – (1) Alıcı;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Yükün teslim alınmasına engel bir durum olmadıkça yükün kabulünü ertelememekle,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Konteyner kullanılması durumunda, ADR hükümlerinin ihlal edildiğinin tespit edilmesi halinde, ihlal durumu düzeltilmeden konteyneri taşıyıcıya teslim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Boşaltım alanında güvenlik önlemlerinin tam olarak alınmış olmasını sağlamakla ve boşaltma işleminde kullanılan donanımın düzgün olarak çalıştığını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ADR Bölüm 1.4.2.3’te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Boşaltanın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17</w:t>
      </w:r>
      <w:r w:rsidRPr="00704A9D">
        <w:rPr>
          <w:rFonts w:ascii="Times New Roman" w:hAnsi="Times New Roman"/>
          <w:color w:val="1C283D"/>
          <w:sz w:val="24"/>
          <w:szCs w:val="24"/>
        </w:rPr>
        <w:t xml:space="preserve"> – (1) Boşaltan;</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Boşaltma öncesinde paket, konteyner, tank veya araç bilgileri ile sevkiyat belgelerinde yer alan ilgili bilgileri karşılaştırarak doğru yükün boşaltılacağını tespit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Boşaltma öncesinde ve sırasında pakette, tankta, araçta veya konteynerde boşaltma işlemini tehlikeye sokacak ölçüde bir tahribatın olup olmadığını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Bu maddenin (b) bendinde belirtilen olumsuz bir durumun tespiti halinde, gerekli önlemler alınıncaya kadar boşaltma işlemine ara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Tank, taşıt ve konteynerin boşaltılması sırasında;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1) Boşaltma işlemi esnasında tankın, taşıtın veya konteynerin dışına bulaşan tehlikeli artıklardan arındırılmasını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Vana ve kontrol kapaklarının güvenli bir şekilde kapatılmasını hemen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Taşımayı gerçekleştiren taşıt veya konteynerin ADR’de öngörülen temizleme ve arındırma işlemlerinin yapılmasını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Tehlikeli maddelerin taşınmasını takiben konteynerin tamamen boşaltılmış, temizlenmiş, arındırılmış olması durumunda, ADR Bölüm 5.3 kapsamındaki tehlike işaretlerini konteynerin üzerinden kaldırmakla,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ADR Bölüm 1.4.3.7’de yer alan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lastRenderedPageBreak/>
        <w:t>Tank-konteyner/taşınabilir tank işletmecisinin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18</w:t>
      </w:r>
      <w:r w:rsidRPr="00704A9D">
        <w:rPr>
          <w:rFonts w:ascii="Times New Roman" w:hAnsi="Times New Roman"/>
          <w:color w:val="1C283D"/>
          <w:sz w:val="24"/>
          <w:szCs w:val="24"/>
        </w:rPr>
        <w:t xml:space="preserve"> – (1) Tank-konteyner/taşınabilir tank işletmecisi;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Tank-konteynerler veya taşınabilir tankların testlerinin ve işaretlemelerinin ADR’nin ilgili hükümlerine uygunluğunu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Tank-konteynerler veya taşınabilir tankların yapı ve ekipmanlarının özel olarak, ADR hükümlerine uygun olmasını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Boşaltılmış tank ya da tank konteynerlerinin kullanıma tekrar sunulmadan, temizlenmesini ve hasarlı olmamasını sağlamakla,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Gerekli belgeleri bulundurmakla ve taşımacıya vermekle,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ADR Bölüm 1.4.3.4’te yer alan diğer hükümleri yerine getirmekle,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yükümlüdür.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DÖRDÜNCÜ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Muafiyet ve Özel İzin Verilecek Haller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Muafiyet ve özel izin verilecek haller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19</w:t>
      </w:r>
      <w:r w:rsidRPr="00704A9D">
        <w:rPr>
          <w:rFonts w:ascii="Times New Roman" w:hAnsi="Times New Roman"/>
          <w:color w:val="1C283D"/>
          <w:sz w:val="24"/>
          <w:szCs w:val="24"/>
        </w:rPr>
        <w:t xml:space="preserve"> – (1) Bakanlık, tehlikeli maddelerin karayoluyla taşımacılığına ilişkin olarak aşağıda belirtilen esaslar dahilinde; ADR ve bu Yönetmelik hükümlerinin bir kısmıyla ilgili muafiyet ve/veya özel izin verebilir.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Teknik gelişmeler nedeniyle taşınmasının ADR ve bu Yönetmelik kapsamı dışına çıkarılması gerektiğinin belgelenmesine bağlı olarak, bir tehlikeli maddenin taşınmasının talep edilmesi,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Gelişmiş teknolojilerle üretilen ve tehlikeli madde özelliği ihtiva eden yeni ürünlerin, UN numarası alma ve ADR’nin ilgili bölümüne dâhil edilme sürecinde, güvenlik tedbirleri alınmak suretiyle taşınmasının talep edilmesi.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Bakanlık tarafından birinci fıkranın (a) ve (b) bentlerinde belirtilen bir ürün için tanınan muafiyet, en fazla beş yıl süre ile geçerlidir. Bu beş yıllık süre içinde muafiyet tanınan ürünlerin ADR’nin ilgili bölümlerine eklenmesi veya ilgili bölümlerinden çıkarılması gerekir. Ancak, Bakanlık bu sürenin uzatılmasını talep edenlerden, söz konusu muafiyetin ADR’ye eklenmesinin veya ADR’den çıkarılmasının bu süre içerisinde sağlanamamasının haklı ve makul gerekçelerini gösteren belgelerin sunulmasına bağlı olarak bu beş yıllık süreye ilave olarak en çok bir yıllık ek süre verebilir.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Bakanlık, kamu menfaati veya kamu güvenliğinin söz konusu olduğu durumlarda, ilgili ve yetkili mercilerin talebi üzerine, ADR ve bu Yönetmelik hükümleri ile ilgili olarak muafiyet veya özel izin tanıyabilir.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ADR Bölüm 1.1.3, Bölüm 3.4 ve Bölüm 3.5 kapsamında karayoluyla yapılacak tehlikeli madde taşımacılığında ADR’de belirtilen hükümler uygulanır, ayrıca Bakanlık izni aranmaz.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BEŞİNCİ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Araçlar İçin İzlenecek 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20</w:t>
      </w:r>
      <w:r w:rsidRPr="00704A9D">
        <w:rPr>
          <w:rFonts w:ascii="Times New Roman" w:hAnsi="Times New Roman"/>
          <w:color w:val="1C283D"/>
          <w:sz w:val="24"/>
          <w:szCs w:val="24"/>
        </w:rPr>
        <w:t xml:space="preserve"> – (1) Tehlikeli madde yüklü taşıtların izleyeceği güzergâhlar ve park yerleri;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Şehirlerarası yollarda Karayolları Genel Müdürlüğünce,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Büyükşehir belediyesi sınırları ve mücavir alanı içerisinde ulaşım koordinasyon merkezlerince,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İl ve ilçe belediye sınırları ve mücavir alanı içerisinde il/ilçe trafik komisyonlarınca,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Diğer yerlerde ilgili kaymakamlıklarca,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tespit edilir.</w:t>
      </w:r>
    </w:p>
    <w:p w:rsidR="00605FC1" w:rsidRDefault="00605FC1" w:rsidP="00605FC1">
      <w:pPr>
        <w:spacing w:line="240" w:lineRule="auto"/>
        <w:ind w:firstLine="567"/>
        <w:rPr>
          <w:rFonts w:ascii="Times New Roman" w:hAnsi="Times New Roman"/>
          <w:b/>
          <w:bCs/>
          <w:color w:val="1C283D"/>
          <w:sz w:val="24"/>
          <w:szCs w:val="24"/>
        </w:rPr>
      </w:pPr>
      <w:r w:rsidRPr="00704A9D">
        <w:rPr>
          <w:rFonts w:ascii="Times New Roman" w:hAnsi="Times New Roman"/>
          <w:b/>
          <w:bCs/>
          <w:color w:val="1C283D"/>
          <w:sz w:val="24"/>
          <w:szCs w:val="24"/>
        </w:rPr>
        <w:t> </w:t>
      </w:r>
    </w:p>
    <w:p w:rsidR="007D4CBD" w:rsidRDefault="007D4CBD" w:rsidP="00605FC1">
      <w:pPr>
        <w:spacing w:line="240" w:lineRule="auto"/>
        <w:ind w:firstLine="567"/>
        <w:rPr>
          <w:rFonts w:ascii="Times New Roman" w:hAnsi="Times New Roman"/>
          <w:b/>
          <w:bCs/>
          <w:color w:val="1C283D"/>
          <w:sz w:val="24"/>
          <w:szCs w:val="24"/>
        </w:rPr>
      </w:pPr>
    </w:p>
    <w:p w:rsidR="007D4CBD" w:rsidRDefault="007D4CBD" w:rsidP="00605FC1">
      <w:pPr>
        <w:spacing w:line="240" w:lineRule="auto"/>
        <w:ind w:firstLine="567"/>
        <w:rPr>
          <w:rFonts w:ascii="Times New Roman" w:hAnsi="Times New Roman"/>
          <w:b/>
          <w:bCs/>
          <w:color w:val="1C283D"/>
          <w:sz w:val="24"/>
          <w:szCs w:val="24"/>
        </w:rPr>
      </w:pPr>
    </w:p>
    <w:p w:rsidR="007D4CBD" w:rsidRPr="00704A9D" w:rsidRDefault="007D4CBD" w:rsidP="00605FC1">
      <w:pPr>
        <w:spacing w:line="240" w:lineRule="auto"/>
        <w:ind w:firstLine="567"/>
        <w:rPr>
          <w:rFonts w:ascii="Times New Roman" w:hAnsi="Times New Roman"/>
          <w:color w:val="1C283D"/>
          <w:sz w:val="24"/>
          <w:szCs w:val="24"/>
        </w:rPr>
      </w:pP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lastRenderedPageBreak/>
        <w:t>ALTINCI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Özel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özel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21</w:t>
      </w:r>
      <w:r w:rsidRPr="00704A9D">
        <w:rPr>
          <w:rFonts w:ascii="Times New Roman" w:hAnsi="Times New Roman"/>
          <w:color w:val="1C283D"/>
          <w:sz w:val="24"/>
          <w:szCs w:val="24"/>
        </w:rPr>
        <w:t xml:space="preserve"> – (1) Tehlikeli madde taşımalarında ADR’nin yanı sıra aşağıdaki hükümlere de uyulması zorunludur.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Patlayıcı madde ve gaz yüklü taşıtların, Türk boğazları bölgesindeki köprü ve tüp geçitlerden geçişlerine, ilgili valiliklerce, Karayolları Genel Müdürlüğünün görüşü dikkate alınarak belirlenen usul ve esaslar dâhilinde izin verilir.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Karayolları üzerindeki tünellere ilişkin tünel kategorilerinin, ADR’ye uygun olarak belirlenmesi ve işaretlenmesi Karayolları Genel Müdürlüğünce yapılır. Karayolları üzerindeki tünellerden tehlikeli madde taşıyan araçların geçişlerine ilişkin hususlar Bakanlık tarafından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Karayolu üzerindeki tünel geçişlerinde, bir taşıtta birden fazla farklı sınıfta tehlikeli madde taşınıyor ise, bu tehlikeli maddelerden en yüksek tünel sınırlama koduna sahip tehlikeli madde sınıfının tünel kodu dikkate alınır.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Tehlikeli madde yüklü veya bu yükleri boşaltılmış ancak usulüne uygun şekilde temizlenmemiş taşıtların meskûn mahallerde yükleme ve boşaltma süreleri hariç 20 nci maddede belirtilen park yerleri dışındaki alanlara park etmeleri yasaktır.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YEDİNCİ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Denetim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Denetim yetkisi ve kullanımı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22</w:t>
      </w:r>
      <w:r w:rsidRPr="00704A9D">
        <w:rPr>
          <w:rFonts w:ascii="Times New Roman" w:hAnsi="Times New Roman"/>
          <w:color w:val="1C283D"/>
          <w:sz w:val="24"/>
          <w:szCs w:val="24"/>
        </w:rPr>
        <w:t xml:space="preserve"> – (1) Bu Yönetmelik kapsamında yer alan faaliyetler Bakanlık denetimine tabidir.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Denetimle ilgili diğer mevzuat hükümleri saklıdır.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Denetimle görevli ve yetkili kurum ve kuruluşlar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23</w:t>
      </w:r>
      <w:r w:rsidRPr="00704A9D">
        <w:rPr>
          <w:rFonts w:ascii="Times New Roman" w:hAnsi="Times New Roman"/>
          <w:color w:val="1C283D"/>
          <w:sz w:val="24"/>
          <w:szCs w:val="24"/>
        </w:rPr>
        <w:t xml:space="preserve">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Bakanlık, uyarılmasına rağmen denetim görevini aksatanları ilgili ve yetkili mercilere bildirir.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Denetimle görevlendirilecek personelde en az lise veya dengi okul mezunu olma şartı aranır.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Bakanlık denetimlerde uygulanacak usul ve esasları ADR Bölüm 1.8 ve ilgili AB mevzuatını dikkate alarak düzenler.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Yol kenarı denetimi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24</w:t>
      </w:r>
      <w:r w:rsidRPr="00704A9D">
        <w:rPr>
          <w:rFonts w:ascii="Times New Roman" w:hAnsi="Times New Roman"/>
          <w:color w:val="1C283D"/>
          <w:sz w:val="24"/>
          <w:szCs w:val="24"/>
        </w:rPr>
        <w:t xml:space="preserve">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yapılır.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7D4CBD" w:rsidRDefault="007D4CBD" w:rsidP="00605FC1">
      <w:pPr>
        <w:spacing w:line="240" w:lineRule="auto"/>
        <w:ind w:firstLine="567"/>
        <w:jc w:val="center"/>
        <w:rPr>
          <w:rFonts w:ascii="Times New Roman" w:hAnsi="Times New Roman"/>
          <w:b/>
          <w:bCs/>
          <w:color w:val="1C283D"/>
          <w:sz w:val="24"/>
          <w:szCs w:val="24"/>
        </w:rPr>
      </w:pP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lastRenderedPageBreak/>
        <w:t>SEKİZİNCİ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Cezaların Uygulanmasına İlişkin Kurallar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Tutanakları düzenlemeye görevli ve yetkili kılınanlar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25</w:t>
      </w:r>
      <w:r w:rsidRPr="00704A9D">
        <w:rPr>
          <w:rFonts w:ascii="Times New Roman" w:hAnsi="Times New Roman"/>
          <w:color w:val="1C283D"/>
          <w:sz w:val="24"/>
          <w:szCs w:val="24"/>
        </w:rPr>
        <w:t xml:space="preserve"> – (1) İdari para cezası karar tutanağı ve ihlal tespit tutanağı düzenlemeye yetkili ve görevli personel aşağıda belirtilmiştir: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Yetkilendirilmiş Bakanlık personeli,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Trafik polisi,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Trafik polisinin görev alanı dışında kalan yerlerde rütbeli jandarma personeli,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Gümrük ve Ticaret Bakanlığının sınır kapılarında görev yapan Gümrük Muhafaza ve Gümrük Muayene Memurları ile bunların amirleri,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Belediye Başkanlıklarının denetimden sorumlu zabıtaları.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Tutanakların düzenlenmesi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26</w:t>
      </w:r>
      <w:r w:rsidRPr="00704A9D">
        <w:rPr>
          <w:rFonts w:ascii="Times New Roman" w:hAnsi="Times New Roman"/>
          <w:color w:val="1C283D"/>
          <w:sz w:val="24"/>
          <w:szCs w:val="24"/>
        </w:rPr>
        <w:t xml:space="preserve"> – (1) Kanunda, 655 sayılı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Tutanaklar; uyarma ile ilgili olanlar için “İhlal Tespit Tutanağı”, para cezaları için “Karayolu Taşıma Kanunu İdari Para Cezası Karar Tutanağı” ve/veya “655 sayılı KHK İdari Para Cezası Karar Tutanağı” olmak üzere iki şekilde düzenlenir.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Tutanak düzenleyenler ile bağlı oldukları kurum ve kuruluşların yükümlülükleri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27</w:t>
      </w:r>
      <w:r w:rsidRPr="00704A9D">
        <w:rPr>
          <w:rFonts w:ascii="Times New Roman" w:hAnsi="Times New Roman"/>
          <w:color w:val="1C283D"/>
          <w:sz w:val="24"/>
          <w:szCs w:val="24"/>
        </w:rPr>
        <w:t xml:space="preserve"> – (1) Tutanak düzenleyenler, tutanaklarla ilgili olarak aşağıdaki hususları yerine getirmekle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Tutanaklara, bağlı olduğu kurumun veya birimin adı bulunan kaşe veya damgayı basmak veya bu kurumun veya birimin adını yazmak,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Tutanaklara, kendi adını, soyadını, görev unvanını ve sicil numarasını yazarak veya bu bilgiler bulunan kaşe veya damgayı her nüshasına basarak imza etmek,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Tutanakları, tebliğ yerine geçmek üzere, hakkında işlem yapılana veya temsilcisine imza ettirmek ve bir nüshasını vermek,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Tutanakları imza etmekten kaçınanlar için "imza etmedi" kaydı koymak,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Zorunlu hallerde resmi ve özel kurum veya kuruluşların sorumluları için "gıyabında" yazarak kayıt koymak,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Tutanakları bağlı bulunduğu kurum ve kuruluşa düzenlendiği andan itibaren kırk sekiz saat içerisinde teslim etmek.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Tutanak düzenleyenlerin bağlı olduğu kurum ve kuruluşlar; tutanaklarla ilgili olarak aşağıdaki işlemleri yerine getirmekle yükümlüdürler.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Tutanakların birer örneği değerlendirme için Bakanlığa gönderilir.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DOKUZUNCU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Yaptırımlar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İdari para cezası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28</w:t>
      </w:r>
      <w:r w:rsidRPr="00704A9D">
        <w:rPr>
          <w:rFonts w:ascii="Times New Roman" w:hAnsi="Times New Roman"/>
          <w:color w:val="1C283D"/>
          <w:sz w:val="24"/>
          <w:szCs w:val="24"/>
        </w:rPr>
        <w:t xml:space="preserve"> – (1) 7 nci maddenin birinci fıkrasına aykırı hareket edenlere Kanunun 26 ncı maddesinin (b) bendine göre beşyüz Türk Lirası idari para cezası uygulanır ve söz konusu ihlal giderilinceye kadar taşıt güvenli bir alana park ettirilir ve taşımanın devamına izin verilmez.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14 üncü maddenin birinci fıkrasının (i) bendine aykırı hareket eden taşımacıya, Kanunun 26 ncı maddesinin birinci fıkrasının (e) bendine göre beşyüz Türk Lirası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8 inci maddenin birinci fıkrasına aykırı hareket eden sürücülere, Kanunun 26 ncı maddesinin birinci fıkrasının (l) bendine göre ikiyüz Türk Lirası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Aşağıda yer alan ihlallere, 655 sayılı KHK’nin 28 inci maddesinin ikinci fıkrasının (b) bendine göre;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a) 5 inci maddenin dördüncü fıkrasına aykırı hareket eden göndericiye,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5 inci maddenin beşinci fıkrasına aykırı hareket eden göndericiye bin Türk Lirası, taşıyıcıya beşyüz Türk Lirası ve taşıt üzerindeki işaretleme eksiklikleri için sürücüye yüz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6 ncı maddenin üçüncü fıkrasına göre “Faaliyet Belgesi” almadan faaliyette bulunan gerçek veya tüzel kişilere,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9 uncu maddenin birinci fıkrasının (a) bendine aykırı hareket eden göndericiye, beşyüz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9 uncu maddenin birinci fıkrasının (ç) bendine aykırı hareket eden; gönderene ikiyüzelli Türk Lirası, taşımacıya ikiyüzelli Türk Lirası, sürücüye elli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9 uncu maddenin birinci fıkrasının (e) bendine aykırı hareket eden taşımacıya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9 uncu maddenin birinci fıkrasının (f) bendine aykırı hareket eden sürücüye elli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9 uncu maddenin birinci fıkrasının (g) bendine aykırı hareket eden taşımacıya beşyüz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33 üncü maddeye aykırı hareket ederek tehlikeli madde güvenlik danışmanı çalıştırmayan işletmelere bin Türk Lirası,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Bu maddede belirtilen idari para cezaları, her takvim yılı başından geçerli olmak üzere o yıl için 4/11/1961 tarihli ve 213 sayılı Vergi Usul Kanunu uyarınca tespit ve ilan edilen yeniden değerleme oranında artırılarak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İdari para cezası uygulanması ve diğer yaptırımlar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29</w:t>
      </w:r>
      <w:r w:rsidRPr="00704A9D">
        <w:rPr>
          <w:rFonts w:ascii="Times New Roman" w:hAnsi="Times New Roman"/>
          <w:color w:val="1C283D"/>
          <w:sz w:val="24"/>
          <w:szCs w:val="24"/>
        </w:rPr>
        <w:t xml:space="preserve">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Uyarmalar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30</w:t>
      </w:r>
      <w:r w:rsidRPr="00704A9D">
        <w:rPr>
          <w:rFonts w:ascii="Times New Roman" w:hAnsi="Times New Roman"/>
          <w:color w:val="1C283D"/>
          <w:sz w:val="24"/>
          <w:szCs w:val="24"/>
        </w:rPr>
        <w:t xml:space="preserve"> – (1) Bakanlıkça bu Yönetmelik hükümlerine aykırı hareket ettiği tespit edilen; gönderen, taşımacı, alıcı, yükleyen, paketleyen, boşaltan, dolduran, taşıt sürücüsü ve tank-konteyner/taşınabilir tank işletmecilerine ilişkin olarak;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10 uncu maddeye aykırı hareket eden gönderene,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11 inci maddeye aykırı hareket eden paketleyene,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12 nci maddeye aykırı hareket eden yükleyene,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13 üncü maddeye aykırı hareket eden doldurana,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14 üncü maddeye aykırı hareket eden taşımacıya,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15 inci maddeye aykırı hareket eden sürücüye, maddede ihlal ettiği her bir bent için 2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16 ncı maddeye aykırı hareket eden alıcıya,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g) 17 nci maddeye aykırı hareket eden boşaltana,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ğ) 18 inci maddeye aykırı hareket eden tank-konteyner/taşınabilir tank işletmecisine, maddede ihlal ettiği her bir bent için 3 uyarma,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verilir.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Uyarmaların veriliş tarihinden itibaren ilgilinin doksan gün içerisinde Bakanlığa yazılı başvuruda bulunarak, verilen uyarmaların paraya çevrilebilmesi için her uyarmaya yetmişdokuz Türk Lirası olmak üzere yetkili saymanlığa ödemede bulunduğunu bildirmesi ve bunu belgelemesi halinde uyarmalar kaldırılır. Bu doksan günlük süre içinde müracaat edilerek paraya çevrilmeyen uyarmalar kaldırılmaz.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Bu ücret, her takvim yılı başından geçerli olmak üzere o yıl için 213 sayılı Vergi Usul Kanunu uyarınca tespit ve ilan edilen yeniden değerleme oranında artırılarak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Faaliyet durdurma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31</w:t>
      </w:r>
      <w:r w:rsidRPr="00704A9D">
        <w:rPr>
          <w:rFonts w:ascii="Times New Roman" w:hAnsi="Times New Roman"/>
          <w:color w:val="1C283D"/>
          <w:sz w:val="24"/>
          <w:szCs w:val="24"/>
        </w:rPr>
        <w:t xml:space="preserve"> – (1) Bu Yönetmeliğe göre verilen ve 30 uncu maddenin ikinci fıkrasına göre kaldırılmayan uyarmaların toplam sayısı elliye ulaşan; gönderenlerin, paketleyenlerin, yükleyenlerin, dolduranların, boşaltanların, alıcıların ve tank-konteyner/taşınabilir tank işletmecilerinin faaliyetleri, </w:t>
      </w:r>
      <w:r w:rsidRPr="00704A9D">
        <w:rPr>
          <w:rFonts w:ascii="Times New Roman" w:hAnsi="Times New Roman"/>
          <w:color w:val="1C283D"/>
          <w:sz w:val="24"/>
          <w:szCs w:val="24"/>
        </w:rPr>
        <w:lastRenderedPageBreak/>
        <w:t>Bakanlığın ilgili valiliğe yazdığı bildirimin ulaştığı tarihten itibaren en geç yirmi gün içinde valilikçe otuz gün süreyle durdurulur.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ONUNCU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Yetkilendirme, Tehlikeli Madde Güvenlik Danışmanı, Eğitim ve</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Uygulamadan Sorumlu Kurumlar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Yetkilendirme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32</w:t>
      </w:r>
      <w:r w:rsidRPr="00704A9D">
        <w:rPr>
          <w:rFonts w:ascii="Times New Roman" w:hAnsi="Times New Roman"/>
          <w:color w:val="1C283D"/>
          <w:sz w:val="24"/>
          <w:szCs w:val="24"/>
        </w:rPr>
        <w:t xml:space="preserve">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18/5/2004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a) Yetkilendirme, düzenlenecek bir protokol/sözleşme ile yapılır. Bu protokol/sözleşmede yetkilendirmenin konusu, süresi ve mutabakata varılan hususlar açıkça belirtilir.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Yetkilendirme, yetkilendirmenin konusu ve niteliği gözetilmek suretiyle en az 1 yıl en fazla 5 yıl süreyle yapılabilir. Yetkilendirme, süresinin sonunda yenilenebilir.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Bakanlık, yetkilendirmenin konusuna, niteliğine ve özelliğine göre aynı konuda birden fazla kamu kurum/kuruluşu, üniversite veya muayene kuruluşunu yetkilendirebilir.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Yetkilendirme kapsamında üretilecek hizmetler için alınacak/ödenecek ücretler Bakanlık tarafından onaylanır.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Yetkilendirilmiş olanlar ilgili mevzuata ve Bakanlıkça yayımlanan idari düzenlemelere uymakla yükümlüdürler. Bakanlık, yetkilendirmenin kullanımı ile ilgili olarak gerektiğinde her türlü denetimi yapar.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Yetkilendirilmiş olanların ilgili mevzuata ve Bakanlıkça yayımlanan idari düzenlemelere uymaması halinde yapılmış olan yetkilendirme, Bakanlık tarafından iptal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f) Yetkilendirme, Bakanlığın bu konudaki görev, sorumluluk ve yetkisini ortadan kaldırmaz.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güvenlik danışmanı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33</w:t>
      </w:r>
      <w:r w:rsidRPr="00704A9D">
        <w:rPr>
          <w:rFonts w:ascii="Times New Roman" w:hAnsi="Times New Roman"/>
          <w:color w:val="1C283D"/>
          <w:sz w:val="24"/>
          <w:szCs w:val="24"/>
        </w:rPr>
        <w:t xml:space="preserve">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Eğitim</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34</w:t>
      </w:r>
      <w:r w:rsidRPr="00704A9D">
        <w:rPr>
          <w:rFonts w:ascii="Times New Roman" w:hAnsi="Times New Roman"/>
          <w:color w:val="1C283D"/>
          <w:sz w:val="24"/>
          <w:szCs w:val="24"/>
        </w:rPr>
        <w:t xml:space="preserve"> – (1) Tehlikeli maddelerin taşınması için gerekli olan eğitimler, 3/9/2004 tarihli ve 25572 sayılı Resmî Gazete’de yayımlanan Karayolu Taşımacılık Faaliyetleri Mesleki Yeterlilik Eğitimi Yönetmeliği ile Bakanlıkça belirlenen mevzuat kapsamında gerçekleştirilir.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Uygulamadan sorumlu kurumlar ve sorumlu oldukları alanlar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35</w:t>
      </w:r>
      <w:r w:rsidRPr="00704A9D">
        <w:rPr>
          <w:rFonts w:ascii="Times New Roman" w:hAnsi="Times New Roman"/>
          <w:color w:val="1C283D"/>
          <w:sz w:val="24"/>
          <w:szCs w:val="24"/>
        </w:rPr>
        <w:t xml:space="preserve"> – (1) ADR’de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 </w:t>
      </w:r>
    </w:p>
    <w:p w:rsidR="007D4CBD" w:rsidRDefault="007D4CBD" w:rsidP="00605FC1">
      <w:pPr>
        <w:spacing w:line="240" w:lineRule="auto"/>
        <w:ind w:firstLine="567"/>
        <w:jc w:val="center"/>
        <w:rPr>
          <w:rFonts w:ascii="Times New Roman" w:hAnsi="Times New Roman"/>
          <w:b/>
          <w:bCs/>
          <w:color w:val="1C283D"/>
          <w:sz w:val="24"/>
          <w:szCs w:val="24"/>
        </w:rPr>
      </w:pPr>
    </w:p>
    <w:p w:rsidR="007D4CBD" w:rsidRDefault="007D4CBD" w:rsidP="00605FC1">
      <w:pPr>
        <w:spacing w:line="240" w:lineRule="auto"/>
        <w:ind w:firstLine="567"/>
        <w:jc w:val="center"/>
        <w:rPr>
          <w:rFonts w:ascii="Times New Roman" w:hAnsi="Times New Roman"/>
          <w:b/>
          <w:bCs/>
          <w:color w:val="1C283D"/>
          <w:sz w:val="24"/>
          <w:szCs w:val="24"/>
        </w:rPr>
      </w:pPr>
    </w:p>
    <w:p w:rsidR="007D4CBD" w:rsidRDefault="007D4CBD" w:rsidP="00605FC1">
      <w:pPr>
        <w:spacing w:line="240" w:lineRule="auto"/>
        <w:ind w:firstLine="567"/>
        <w:jc w:val="center"/>
        <w:rPr>
          <w:rFonts w:ascii="Times New Roman" w:hAnsi="Times New Roman"/>
          <w:b/>
          <w:bCs/>
          <w:color w:val="1C283D"/>
          <w:sz w:val="24"/>
          <w:szCs w:val="24"/>
        </w:rPr>
      </w:pP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lastRenderedPageBreak/>
        <w:t>ONBİRİNCİ BÖLÜM</w:t>
      </w:r>
    </w:p>
    <w:p w:rsidR="00605FC1" w:rsidRPr="00704A9D" w:rsidRDefault="00605FC1" w:rsidP="00605FC1">
      <w:pPr>
        <w:spacing w:line="240" w:lineRule="auto"/>
        <w:ind w:firstLine="567"/>
        <w:jc w:val="center"/>
        <w:rPr>
          <w:rFonts w:ascii="Times New Roman" w:hAnsi="Times New Roman"/>
          <w:color w:val="1C283D"/>
          <w:sz w:val="24"/>
          <w:szCs w:val="24"/>
        </w:rPr>
      </w:pPr>
      <w:r w:rsidRPr="00704A9D">
        <w:rPr>
          <w:rFonts w:ascii="Times New Roman" w:hAnsi="Times New Roman"/>
          <w:b/>
          <w:bCs/>
          <w:color w:val="1C283D"/>
          <w:sz w:val="24"/>
          <w:szCs w:val="24"/>
        </w:rPr>
        <w:t>Çeşitli ve Son Hükümler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maddelerin taşınmasında sigorta yaptırma zorunluluğu</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36</w:t>
      </w:r>
      <w:r w:rsidRPr="00704A9D">
        <w:rPr>
          <w:rFonts w:ascii="Times New Roman" w:hAnsi="Times New Roman"/>
          <w:color w:val="1C283D"/>
          <w:sz w:val="24"/>
          <w:szCs w:val="24"/>
        </w:rPr>
        <w:t xml:space="preserve"> – (1) Yetki belgesi sahipleri tehlikeli madde taşıyan taşıtlarına, Tehlikeli Maddeler ve Tehlikeli Atık Zorunlu Mali Sorumluluk Sigortası yaptırmak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Sigortasız taşıma yapılamayacağı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37</w:t>
      </w:r>
      <w:r w:rsidRPr="00704A9D">
        <w:rPr>
          <w:rFonts w:ascii="Times New Roman" w:hAnsi="Times New Roman"/>
          <w:color w:val="1C283D"/>
          <w:sz w:val="24"/>
          <w:szCs w:val="24"/>
        </w:rPr>
        <w:t xml:space="preserve"> – (1) Taşıt belgelerinde kayıtlı özmal ve sözleşmeli tüm taşıtlar için Tehlikeli Maddeler ve Tehlikeli Atık Zorunlu Mali Sorumluluk Sigortası yaptırmayan yetki belgesi sahipleri, tehlikeli madde taşımacılığı yapamaz.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Denetimler sırasında birinci fıkrada belirtilen sigortanın yapılmadığı tespit edilirse, taşımanın başlamış olması halinde, taşımanın devamına en yakın yerleşim noktasına kadar izin verilir.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Güncelleme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38</w:t>
      </w:r>
      <w:r w:rsidRPr="00704A9D">
        <w:rPr>
          <w:rFonts w:ascii="Times New Roman" w:hAnsi="Times New Roman"/>
          <w:color w:val="1C283D"/>
          <w:sz w:val="24"/>
          <w:szCs w:val="24"/>
        </w:rPr>
        <w:t xml:space="preserve"> – (1) Bu Yönetmelik, başta ADR’nin son ekleri olmak üzere ilgili uluslararası anlaşmalar ve standartlardaki değişmeler dikkate alınarak güncel tutulur.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İstatistik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39</w:t>
      </w:r>
      <w:r w:rsidRPr="00704A9D">
        <w:rPr>
          <w:rFonts w:ascii="Times New Roman" w:hAnsi="Times New Roman"/>
          <w:color w:val="1C283D"/>
          <w:sz w:val="24"/>
          <w:szCs w:val="24"/>
        </w:rPr>
        <w:t xml:space="preserve"> – (1) Bakanlık, tehlikeli madde taşımacılık faaliyetlerinin genel seyrinin tespiti ve politika oluşturulması bakımından bu faaliyetlere ilişkin istatistikler oluşturur.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Taşımacılık yetki belgesi sahipleri, faaliyet raporlarını Bakanlıkça belirlenen usule göre göndermek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Uzaktan takip</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40</w:t>
      </w:r>
      <w:r w:rsidRPr="00704A9D">
        <w:rPr>
          <w:rFonts w:ascii="Times New Roman" w:hAnsi="Times New Roman"/>
          <w:color w:val="1C283D"/>
          <w:sz w:val="24"/>
          <w:szCs w:val="24"/>
        </w:rPr>
        <w:t xml:space="preserve"> – (1) Bu Yönetmelik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Diğer hükümler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41</w:t>
      </w:r>
      <w:r w:rsidRPr="00704A9D">
        <w:rPr>
          <w:rFonts w:ascii="Times New Roman" w:hAnsi="Times New Roman"/>
          <w:color w:val="1C283D"/>
          <w:sz w:val="24"/>
          <w:szCs w:val="24"/>
        </w:rPr>
        <w:t xml:space="preserve">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Uygunluk Belgesi olmadan faaliyette bulunan taşıtlar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1</w:t>
      </w:r>
      <w:r w:rsidRPr="00704A9D">
        <w:rPr>
          <w:rFonts w:ascii="Times New Roman" w:hAnsi="Times New Roman"/>
          <w:color w:val="1C283D"/>
          <w:sz w:val="24"/>
          <w:szCs w:val="24"/>
        </w:rPr>
        <w:t xml:space="preserve"> – </w:t>
      </w:r>
      <w:r w:rsidR="00AB3C7D">
        <w:rPr>
          <w:rFonts w:ascii="Times New Roman" w:hAnsi="Times New Roman"/>
          <w:b/>
          <w:bCs/>
          <w:color w:val="1C283D"/>
          <w:sz w:val="24"/>
          <w:szCs w:val="24"/>
        </w:rPr>
        <w:t>(Değişik:RG-02/04/2015</w:t>
      </w:r>
      <w:r w:rsidR="00037DAF">
        <w:rPr>
          <w:rFonts w:ascii="Times New Roman" w:hAnsi="Times New Roman"/>
          <w:b/>
          <w:bCs/>
          <w:color w:val="1C283D"/>
          <w:sz w:val="24"/>
          <w:szCs w:val="24"/>
        </w:rPr>
        <w:t>-29314</w:t>
      </w:r>
      <w:r w:rsidR="00037DAF" w:rsidRPr="00704A9D">
        <w:rPr>
          <w:rFonts w:ascii="Times New Roman" w:hAnsi="Times New Roman"/>
          <w:color w:val="1C283D"/>
          <w:sz w:val="24"/>
          <w:szCs w:val="24"/>
        </w:rPr>
        <w:t xml:space="preserve"> </w:t>
      </w:r>
      <w:r w:rsidRPr="00704A9D">
        <w:rPr>
          <w:rFonts w:ascii="Times New Roman" w:hAnsi="Times New Roman"/>
          <w:color w:val="1C283D"/>
          <w:sz w:val="24"/>
          <w:szCs w:val="24"/>
        </w:rPr>
        <w:t>(1) Tehlikeli maddelerin yurt içindeki taşınmasında kullanılan ve bu Yönetmeliğin yürürlüğe girdiği tarihte trafik siciline tescilli ve Taşıt Uygunluk Belgesi/ADR Uygunluk Belgesi bulunmayan taşıt sahipleri; taşıtın ADR’ye uygunluğunu değerlendirmek üzere Bakanlığın yetkilendirdiği kurum/kuruluşlara aşağıdaki takvime uygun olarak başvuruda bulunmak zorundadırlar. Belirtilen tarih aralığından önce, taşıtlarına uygunluk değerlendirmesi yaptırmak isteyenlerin, yetkilendirilmiş kuruluşa bildirimde bulunup alınacak randevuya göre hareket etmesi zorunludur. Yapılacak inceleme sonucuna bağlı olarak Bakanlığın belirleyeceği usul ve esaslara göre ilgili taşıta Taşıt Uygunluk Belgesi veya Taşıt Durum Tespit Belgesi düzenlenir.</w:t>
      </w:r>
    </w:p>
    <w:p w:rsidR="00605FC1" w:rsidRPr="00704A9D" w:rsidRDefault="00037DAF" w:rsidP="00605FC1">
      <w:pPr>
        <w:spacing w:line="240" w:lineRule="auto"/>
        <w:ind w:firstLine="567"/>
        <w:rPr>
          <w:rFonts w:ascii="Times New Roman" w:hAnsi="Times New Roman"/>
          <w:color w:val="1C283D"/>
          <w:sz w:val="24"/>
          <w:szCs w:val="24"/>
        </w:rPr>
      </w:pPr>
      <w:r>
        <w:rPr>
          <w:rFonts w:ascii="Times New Roman" w:hAnsi="Times New Roman"/>
          <w:color w:val="1C283D"/>
          <w:sz w:val="24"/>
          <w:szCs w:val="24"/>
        </w:rPr>
        <w:t>a) 2006-2014</w:t>
      </w:r>
      <w:r w:rsidR="00605FC1" w:rsidRPr="00704A9D">
        <w:rPr>
          <w:rFonts w:ascii="Times New Roman" w:hAnsi="Times New Roman"/>
          <w:color w:val="1C283D"/>
          <w:sz w:val="24"/>
          <w:szCs w:val="24"/>
        </w:rPr>
        <w:t xml:space="preserve"> model taşıtlar 30/6/2015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2000-2005 model taşıtlar 1/7/2015-31/12/2015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1996-1999 model taşıtlar 1/1/2016-30/6/2016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1990-1995 model taşıtlar 1/7/2016-31/12/2016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d) 1986-1989 model taşıtlar  1/1/2017-30/6/2017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e) 1985 model ve öncesi taşıtlar 1/7/2017-30/6/2018 tarihleri arasında.</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(2) Tehlikeli maddelerin yurt içindeki taşınmasında kullanılan ve bu Yönetmeliğin yürürlüğe girdiği tarihte trafik siciline tescilli ve Taşıt Uygunluk Belgesi/ADR Uygunluk Belgesi bulunmayan taşıt sahipleri;</w:t>
      </w:r>
    </w:p>
    <w:p w:rsidR="00605FC1" w:rsidRPr="00704A9D" w:rsidRDefault="00037DAF" w:rsidP="00605FC1">
      <w:pPr>
        <w:spacing w:line="240" w:lineRule="auto"/>
        <w:ind w:firstLine="567"/>
        <w:rPr>
          <w:rFonts w:ascii="Times New Roman" w:hAnsi="Times New Roman"/>
          <w:color w:val="1C283D"/>
          <w:sz w:val="24"/>
          <w:szCs w:val="24"/>
        </w:rPr>
      </w:pPr>
      <w:r>
        <w:rPr>
          <w:rFonts w:ascii="Times New Roman" w:hAnsi="Times New Roman"/>
          <w:color w:val="1C283D"/>
          <w:sz w:val="24"/>
          <w:szCs w:val="24"/>
        </w:rPr>
        <w:t>a) 2006-2014</w:t>
      </w:r>
      <w:r w:rsidR="00605FC1" w:rsidRPr="00704A9D">
        <w:rPr>
          <w:rFonts w:ascii="Times New Roman" w:hAnsi="Times New Roman"/>
          <w:color w:val="1C283D"/>
          <w:sz w:val="24"/>
          <w:szCs w:val="24"/>
        </w:rPr>
        <w:t xml:space="preserve"> model taşıtlar için  31/12/2015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b) 1996-2005 model taşıtlar için 31/12/2016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c) 1986-1995 model taşıtlar için 31/12/2017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ç) 1985 model ve öncesi taşıtlar için 31/12/2018 tarihine kadar,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lastRenderedPageBreak/>
        <w:t>Bakanlıktan veya Bakanlığın yetkilendirdiği kurum/kuruluştan Taşıt Uygunluk Belgesi’ni almak zorundadırlar.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(3) Birinci fıkrada belirtilen takvimlerdeki tarihlere uygun olarak Taşıt Durum Tespit Belgesi almayan taşıtlara 28 inci maddenin dördüncü fıkrasının (e) bendine göre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(4) Birinci fıkrada belirtilen takvime uygun olarak Taşıt Durum Tespit Belgesi alanlara, ikinci fıkrada belirtilen takvime uygun olarak Taşıt Uygunluk Belgesi almaları için izin verilir ve söz konusu tarihlerin sonuna kadar herhangi bir idari para cezası uygulanmaz.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(5) İkinci fıkrada belirtilen takvime uygun olarak Taşıt Uygunluk Belgesi almayan taşıtlara 28 inci maddenin dördüncü fıkrasının (e) bendine göre idari para cezası uygulanır.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Mevcut taşınabilir basınçlı ekipmanlar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2</w:t>
      </w:r>
      <w:r w:rsidRPr="00704A9D">
        <w:rPr>
          <w:rFonts w:ascii="Times New Roman" w:hAnsi="Times New Roman"/>
          <w:color w:val="1C283D"/>
          <w:sz w:val="24"/>
          <w:szCs w:val="24"/>
        </w:rPr>
        <w:t xml:space="preserve"> – (1) Bu Yönetmeliğin yürürlüğe girdiği tarihten önce ilgili mevzuata göre imal edilmiş olan ve ADR Bölüm 3.2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Faaliyet belgesinin aranması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3</w:t>
      </w:r>
      <w:r w:rsidRPr="00704A9D">
        <w:rPr>
          <w:rFonts w:ascii="Times New Roman" w:hAnsi="Times New Roman"/>
          <w:color w:val="1C283D"/>
          <w:sz w:val="24"/>
          <w:szCs w:val="24"/>
        </w:rPr>
        <w:t xml:space="preserve"> – (1) 6 ncı maddenin 3 üçüncü fıkrasında yer alan gerçek veya tüzel kişilerden Tehlikeli Madde Faaliyet Belgesi </w:t>
      </w:r>
      <w:r w:rsidRPr="00704A9D">
        <w:rPr>
          <w:rFonts w:ascii="Times New Roman" w:hAnsi="Times New Roman"/>
          <w:b/>
          <w:bCs/>
          <w:color w:val="1C283D"/>
          <w:sz w:val="24"/>
          <w:szCs w:val="24"/>
        </w:rPr>
        <w:t xml:space="preserve">(Değişik ibare:RG-27/8/2014-29101) </w:t>
      </w:r>
      <w:r w:rsidRPr="00704A9D">
        <w:rPr>
          <w:rFonts w:ascii="Times New Roman" w:hAnsi="Times New Roman"/>
          <w:color w:val="1C283D"/>
          <w:sz w:val="24"/>
          <w:szCs w:val="24"/>
          <w:u w:val="single"/>
        </w:rPr>
        <w:t>31/12/2014</w:t>
      </w:r>
      <w:r w:rsidRPr="00704A9D">
        <w:rPr>
          <w:rFonts w:ascii="Times New Roman" w:hAnsi="Times New Roman"/>
          <w:color w:val="1C283D"/>
          <w:sz w:val="24"/>
          <w:szCs w:val="24"/>
        </w:rPr>
        <w:t xml:space="preserve"> tarihine kadar aranmaz. Bu tarihten sonra Faaliyet Belgesi olmayanların faaliyetlerine müsaade edilmez.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Tehlikeli madde güvenlik danışmanı istihdam etme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4</w:t>
      </w:r>
      <w:r w:rsidRPr="00704A9D">
        <w:rPr>
          <w:rFonts w:ascii="Times New Roman" w:hAnsi="Times New Roman"/>
          <w:color w:val="1C283D"/>
          <w:sz w:val="24"/>
          <w:szCs w:val="24"/>
        </w:rPr>
        <w:t xml:space="preserve"> – (1) 33 üncü maddede yer alan tehlikeli madde güvenlik danışmanı istihdam etme veya tehlikeli madde güvenlik danışmanından hizmet alma zorunluluğu </w:t>
      </w:r>
      <w:r w:rsidRPr="00704A9D">
        <w:rPr>
          <w:rFonts w:ascii="Times New Roman" w:hAnsi="Times New Roman"/>
          <w:b/>
          <w:bCs/>
          <w:color w:val="1C283D"/>
          <w:sz w:val="24"/>
          <w:szCs w:val="24"/>
        </w:rPr>
        <w:t xml:space="preserve">(Değişik ibare:RG-27/8/2014-29101) </w:t>
      </w:r>
      <w:r w:rsidRPr="00704A9D">
        <w:rPr>
          <w:rFonts w:ascii="Times New Roman" w:hAnsi="Times New Roman"/>
          <w:color w:val="1C283D"/>
          <w:sz w:val="24"/>
          <w:szCs w:val="24"/>
          <w:u w:val="single"/>
        </w:rPr>
        <w:t>30/6/2015</w:t>
      </w:r>
      <w:r w:rsidRPr="00704A9D">
        <w:rPr>
          <w:rFonts w:ascii="Times New Roman" w:hAnsi="Times New Roman"/>
          <w:color w:val="1C283D"/>
          <w:sz w:val="24"/>
          <w:szCs w:val="24"/>
        </w:rPr>
        <w:t xml:space="preserve"> tarihine kadar aranmaz.</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Tünel kategorilerinin belirlenmesi ve işaretlenmesi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5</w:t>
      </w:r>
      <w:r w:rsidRPr="00704A9D">
        <w:rPr>
          <w:rFonts w:ascii="Times New Roman" w:hAnsi="Times New Roman"/>
          <w:color w:val="1C283D"/>
          <w:sz w:val="24"/>
          <w:szCs w:val="24"/>
        </w:rPr>
        <w:t xml:space="preserve"> – (1) Karayolları Genel Müdürlüğünce, karayolları üzerindeki tünellere ilişkin tünel kategorilerinin ADR’ye uygun olarak belirlenmesi ve işaretlenmesi </w:t>
      </w:r>
      <w:r w:rsidRPr="00704A9D">
        <w:rPr>
          <w:rFonts w:ascii="Times New Roman" w:hAnsi="Times New Roman"/>
          <w:b/>
          <w:bCs/>
          <w:color w:val="1C283D"/>
          <w:sz w:val="24"/>
          <w:szCs w:val="24"/>
        </w:rPr>
        <w:t xml:space="preserve">(Değişik ibare:RG-27/8/2014-29101) </w:t>
      </w:r>
      <w:r w:rsidRPr="00704A9D">
        <w:rPr>
          <w:rFonts w:ascii="Times New Roman" w:hAnsi="Times New Roman"/>
          <w:color w:val="1C283D"/>
          <w:sz w:val="24"/>
          <w:szCs w:val="24"/>
          <w:u w:val="single"/>
        </w:rPr>
        <w:t>31/12/2015</w:t>
      </w:r>
      <w:r w:rsidRPr="00704A9D">
        <w:rPr>
          <w:rFonts w:ascii="Times New Roman" w:hAnsi="Times New Roman"/>
          <w:color w:val="1C283D"/>
          <w:sz w:val="24"/>
          <w:szCs w:val="24"/>
        </w:rPr>
        <w:t xml:space="preserve"> tarihine kadar tamamlanır.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Güzergâhlar ve park yerlerinin belirlenmesi</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6 –</w:t>
      </w:r>
      <w:r w:rsidRPr="00704A9D">
        <w:rPr>
          <w:rFonts w:ascii="Times New Roman" w:hAnsi="Times New Roman"/>
          <w:color w:val="1C283D"/>
          <w:sz w:val="24"/>
          <w:szCs w:val="24"/>
        </w:rPr>
        <w:t xml:space="preserve"> </w:t>
      </w:r>
      <w:r w:rsidRPr="00704A9D">
        <w:rPr>
          <w:rFonts w:ascii="Times New Roman" w:hAnsi="Times New Roman"/>
          <w:b/>
          <w:bCs/>
          <w:color w:val="1C283D"/>
          <w:sz w:val="24"/>
          <w:szCs w:val="24"/>
        </w:rPr>
        <w:t xml:space="preserve">(Ek:RG-27/8/2014-29101)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(1) 20 nci maddenin 1 inci fıkrasında görevli ve yetkili kılınan kurum ve kuruluşlar, güzergâh ve park yerlerinin belirlenmesini 31/12/2015 tarihine kadar tamamlarlar.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Sertifikalandırılmamış ambalajların kullanımı</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GEÇİCİ MADDE 7 –</w:t>
      </w:r>
      <w:r w:rsidRPr="00704A9D">
        <w:rPr>
          <w:rFonts w:ascii="Times New Roman" w:hAnsi="Times New Roman"/>
          <w:color w:val="1C283D"/>
          <w:sz w:val="24"/>
          <w:szCs w:val="24"/>
        </w:rPr>
        <w:t xml:space="preserve"> </w:t>
      </w:r>
      <w:r w:rsidRPr="00704A9D">
        <w:rPr>
          <w:rFonts w:ascii="Times New Roman" w:hAnsi="Times New Roman"/>
          <w:b/>
          <w:bCs/>
          <w:color w:val="1C283D"/>
          <w:sz w:val="24"/>
          <w:szCs w:val="24"/>
        </w:rPr>
        <w:t xml:space="preserve">(Ek:RG-27/8/2014-29101) </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color w:val="1C283D"/>
          <w:sz w:val="24"/>
          <w:szCs w:val="24"/>
        </w:rPr>
        <w:t>(1) 24/10/2013 tarihinden önce üretilmiş olan ambalajlar için 5 inci maddenin 4 üncü fıkrası hükmü aranmaz, bu ambalajların yurt içi tehlikeli madde taşımacılığında kullanımına 31/12/2015 tarihine kadar müsaade edilir.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Yürürlükten kaldırılan yönetmelik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42</w:t>
      </w:r>
      <w:r w:rsidRPr="00704A9D">
        <w:rPr>
          <w:rFonts w:ascii="Times New Roman" w:hAnsi="Times New Roman"/>
          <w:color w:val="1C283D"/>
          <w:sz w:val="24"/>
          <w:szCs w:val="24"/>
        </w:rPr>
        <w:t xml:space="preserve"> – (1) 31/3/2007 tarihli ve 26479 sayılı Resmî Gazete’de yayımlanan Tehlikeli Maddelerin Karayoluyla Taşınması Hakkında Yönetmelik yürürlükten kaldırılmıştır.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Yürürlük</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43</w:t>
      </w:r>
      <w:r w:rsidRPr="00704A9D">
        <w:rPr>
          <w:rFonts w:ascii="Times New Roman" w:hAnsi="Times New Roman"/>
          <w:color w:val="1C283D"/>
          <w:sz w:val="24"/>
          <w:szCs w:val="24"/>
        </w:rPr>
        <w:t xml:space="preserve"> – (1) Bu Yönetmelik 1/1/2014 tarihinde yürürlüğe girer.</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Yürütme</w:t>
      </w:r>
    </w:p>
    <w:p w:rsidR="00605FC1" w:rsidRPr="00704A9D" w:rsidRDefault="00605FC1" w:rsidP="00605FC1">
      <w:pPr>
        <w:spacing w:line="240" w:lineRule="auto"/>
        <w:ind w:firstLine="567"/>
        <w:rPr>
          <w:rFonts w:ascii="Times New Roman" w:hAnsi="Times New Roman"/>
          <w:color w:val="1C283D"/>
          <w:sz w:val="24"/>
          <w:szCs w:val="24"/>
        </w:rPr>
      </w:pPr>
      <w:r w:rsidRPr="00704A9D">
        <w:rPr>
          <w:rFonts w:ascii="Times New Roman" w:hAnsi="Times New Roman"/>
          <w:b/>
          <w:bCs/>
          <w:color w:val="1C283D"/>
          <w:sz w:val="24"/>
          <w:szCs w:val="24"/>
        </w:rPr>
        <w:t>MADDE 44</w:t>
      </w:r>
      <w:r w:rsidRPr="00704A9D">
        <w:rPr>
          <w:rFonts w:ascii="Times New Roman" w:hAnsi="Times New Roman"/>
          <w:color w:val="1C283D"/>
          <w:sz w:val="24"/>
          <w:szCs w:val="24"/>
        </w:rPr>
        <w:t xml:space="preserve"> – (1) Bu Yönetmelik hükümlerini Ulaştırma, Denizcilik ve Haberleşme Bakanı yürütür.</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605FC1"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Default="007D4CBD" w:rsidP="00605FC1">
      <w:pPr>
        <w:spacing w:line="240" w:lineRule="auto"/>
        <w:rPr>
          <w:rFonts w:ascii="Times New Roman" w:hAnsi="Times New Roman"/>
          <w:color w:val="1C283D"/>
          <w:sz w:val="24"/>
          <w:szCs w:val="24"/>
        </w:rPr>
      </w:pPr>
    </w:p>
    <w:p w:rsidR="007D4CBD" w:rsidRPr="00704A9D" w:rsidRDefault="007D4CBD" w:rsidP="00605FC1">
      <w:pPr>
        <w:spacing w:line="240" w:lineRule="auto"/>
        <w:rPr>
          <w:rFonts w:ascii="Times New Roman" w:hAnsi="Times New Roman"/>
          <w:color w:val="1C283D"/>
          <w:sz w:val="24"/>
          <w:szCs w:val="24"/>
        </w:rPr>
      </w:pPr>
    </w:p>
    <w:p w:rsidR="00605FC1" w:rsidRPr="00704A9D" w:rsidRDefault="00605FC1" w:rsidP="00605FC1">
      <w:pPr>
        <w:spacing w:line="300" w:lineRule="atLeast"/>
        <w:jc w:val="right"/>
        <w:rPr>
          <w:rFonts w:ascii="Times New Roman" w:hAnsi="Times New Roman"/>
          <w:b/>
          <w:bCs/>
          <w:color w:val="808080"/>
          <w:sz w:val="24"/>
          <w:szCs w:val="24"/>
        </w:rPr>
      </w:pPr>
    </w:p>
    <w:tbl>
      <w:tblPr>
        <w:tblW w:w="9169" w:type="dxa"/>
        <w:jc w:val="center"/>
        <w:tblCellMar>
          <w:left w:w="0" w:type="dxa"/>
          <w:right w:w="0" w:type="dxa"/>
        </w:tblCellMar>
        <w:tblLook w:val="04A0" w:firstRow="1" w:lastRow="0" w:firstColumn="1" w:lastColumn="0" w:noHBand="0" w:noVBand="1"/>
      </w:tblPr>
      <w:tblGrid>
        <w:gridCol w:w="4584"/>
        <w:gridCol w:w="4585"/>
      </w:tblGrid>
      <w:tr w:rsidR="00704A9D" w:rsidRPr="00704A9D" w:rsidTr="00C832EB">
        <w:trPr>
          <w:jc w:val="center"/>
        </w:trPr>
        <w:tc>
          <w:tcPr>
            <w:tcW w:w="9169" w:type="dxa"/>
            <w:gridSpan w:val="2"/>
            <w:tcBorders>
              <w:top w:val="nil"/>
              <w:left w:val="nil"/>
              <w:bottom w:val="single" w:sz="8" w:space="0" w:color="auto"/>
              <w:right w:val="nil"/>
            </w:tcBorders>
            <w:tcMar>
              <w:top w:w="0" w:type="dxa"/>
              <w:left w:w="70" w:type="dxa"/>
              <w:bottom w:w="0" w:type="dxa"/>
              <w:right w:w="70" w:type="dxa"/>
            </w:tcMar>
            <w:vAlign w:val="center"/>
            <w:hideMark/>
          </w:tcPr>
          <w:p w:rsidR="00704A9D" w:rsidRPr="00704A9D" w:rsidRDefault="00704A9D" w:rsidP="00C832EB">
            <w:pPr>
              <w:spacing w:line="240" w:lineRule="auto"/>
              <w:jc w:val="right"/>
              <w:rPr>
                <w:rFonts w:ascii="Times New Roman" w:hAnsi="Times New Roman"/>
                <w:color w:val="1C283D"/>
                <w:sz w:val="24"/>
                <w:szCs w:val="24"/>
              </w:rPr>
            </w:pPr>
            <w:r w:rsidRPr="00704A9D">
              <w:rPr>
                <w:rFonts w:ascii="Times New Roman" w:hAnsi="Times New Roman"/>
                <w:b/>
                <w:bCs/>
                <w:color w:val="1C283D"/>
                <w:sz w:val="24"/>
                <w:szCs w:val="24"/>
              </w:rPr>
              <w:t> </w:t>
            </w:r>
          </w:p>
          <w:p w:rsidR="00704A9D" w:rsidRPr="00704A9D" w:rsidRDefault="00704A9D" w:rsidP="00C832EB">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EK-1</w:t>
            </w:r>
          </w:p>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p w:rsidR="00704A9D" w:rsidRPr="00704A9D" w:rsidRDefault="00704A9D" w:rsidP="00C832EB">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İZİN ALINMASI ZORUNLU OLAN TEHLİKELİ MADDE SINIFI</w:t>
            </w:r>
          </w:p>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rPr>
                <w:rFonts w:ascii="Times New Roman" w:hAnsi="Times New Roman"/>
                <w:color w:val="1C283D"/>
                <w:sz w:val="24"/>
                <w:szCs w:val="24"/>
              </w:rPr>
            </w:pPr>
            <w:r w:rsidRPr="00704A9D">
              <w:rPr>
                <w:rFonts w:ascii="Times New Roman" w:hAnsi="Times New Roman"/>
                <w:b/>
                <w:bCs/>
                <w:color w:val="1C283D"/>
                <w:sz w:val="24"/>
                <w:szCs w:val="24"/>
              </w:rPr>
              <w:t>İzin Alınması Gereken Tehlikeli Madde Sınıfı</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İzin Alınması Gereken İlgili/Yetkili Merci</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r w:rsidRPr="00704A9D">
              <w:rPr>
                <w:rFonts w:ascii="Times New Roman" w:hAnsi="Times New Roman"/>
                <w:color w:val="1C283D"/>
                <w:sz w:val="24"/>
                <w:szCs w:val="24"/>
              </w:rPr>
              <w:t>ADR’de yer alan Sınıf 1’deki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İçişleri Bakanlığı</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r w:rsidRPr="00704A9D">
              <w:rPr>
                <w:rFonts w:ascii="Times New Roman" w:hAnsi="Times New Roman"/>
                <w:color w:val="1C283D"/>
                <w:sz w:val="24"/>
                <w:szCs w:val="24"/>
              </w:rPr>
              <w:t>ADR’de yer alan Sınıf 6’daki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line="240" w:lineRule="auto"/>
              <w:jc w:val="left"/>
              <w:rPr>
                <w:rFonts w:ascii="Times New Roman" w:hAnsi="Times New Roman"/>
                <w:color w:val="1C283D"/>
                <w:sz w:val="24"/>
                <w:szCs w:val="24"/>
              </w:rPr>
            </w:pPr>
            <w:r w:rsidRPr="00704A9D">
              <w:rPr>
                <w:rFonts w:ascii="Times New Roman" w:hAnsi="Times New Roman"/>
                <w:color w:val="1C283D"/>
                <w:sz w:val="24"/>
                <w:szCs w:val="24"/>
              </w:rPr>
              <w:t>Sağlık Bakanlığı,</w:t>
            </w:r>
          </w:p>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Gıda, Tarım ve Hayvancılık Bakanlığı,</w:t>
            </w:r>
          </w:p>
          <w:p w:rsidR="00704A9D" w:rsidRPr="00704A9D" w:rsidRDefault="00704A9D" w:rsidP="00C832EB">
            <w:pPr>
              <w:spacing w:after="120" w:line="240" w:lineRule="auto"/>
              <w:jc w:val="left"/>
              <w:rPr>
                <w:rFonts w:ascii="Times New Roman" w:hAnsi="Times New Roman"/>
                <w:color w:val="1C283D"/>
                <w:sz w:val="24"/>
                <w:szCs w:val="24"/>
              </w:rPr>
            </w:pPr>
            <w:r w:rsidRPr="00704A9D">
              <w:rPr>
                <w:rFonts w:ascii="Times New Roman" w:hAnsi="Times New Roman"/>
                <w:color w:val="1C283D"/>
                <w:sz w:val="24"/>
                <w:szCs w:val="24"/>
              </w:rPr>
              <w:t>Çevre ve Şehircilik Bakanlığı</w:t>
            </w:r>
          </w:p>
        </w:tc>
      </w:tr>
      <w:tr w:rsidR="00704A9D" w:rsidRPr="00704A9D" w:rsidTr="00C832EB">
        <w:trPr>
          <w:jc w:val="center"/>
        </w:trPr>
        <w:tc>
          <w:tcPr>
            <w:tcW w:w="45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before="120" w:after="120" w:line="240" w:lineRule="auto"/>
              <w:jc w:val="left"/>
              <w:rPr>
                <w:rFonts w:ascii="Times New Roman" w:hAnsi="Times New Roman"/>
                <w:color w:val="1C283D"/>
                <w:sz w:val="24"/>
                <w:szCs w:val="24"/>
              </w:rPr>
            </w:pPr>
            <w:r w:rsidRPr="00704A9D">
              <w:rPr>
                <w:rFonts w:ascii="Times New Roman" w:hAnsi="Times New Roman"/>
                <w:color w:val="1C283D"/>
                <w:sz w:val="24"/>
                <w:szCs w:val="24"/>
              </w:rPr>
              <w:t>ADR’de yer alan Sınıf 7’deki maddeler</w:t>
            </w:r>
          </w:p>
        </w:tc>
        <w:tc>
          <w:tcPr>
            <w:tcW w:w="45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04A9D" w:rsidRPr="00704A9D" w:rsidRDefault="00704A9D" w:rsidP="00C832EB">
            <w:pPr>
              <w:spacing w:line="240" w:lineRule="auto"/>
              <w:jc w:val="left"/>
              <w:rPr>
                <w:rFonts w:ascii="Times New Roman" w:hAnsi="Times New Roman"/>
                <w:color w:val="1C283D"/>
                <w:sz w:val="24"/>
                <w:szCs w:val="24"/>
              </w:rPr>
            </w:pPr>
            <w:r w:rsidRPr="00704A9D">
              <w:rPr>
                <w:rFonts w:ascii="Times New Roman" w:hAnsi="Times New Roman"/>
                <w:color w:val="1C283D"/>
                <w:sz w:val="24"/>
                <w:szCs w:val="24"/>
              </w:rPr>
              <w:t>Enerji ve Tabii Kay. Bakanlığı (TAEK)</w:t>
            </w:r>
          </w:p>
        </w:tc>
      </w:tr>
    </w:tbl>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
        <w:gridCol w:w="3600"/>
        <w:gridCol w:w="3600"/>
      </w:tblGrid>
      <w:tr w:rsidR="00605FC1" w:rsidRPr="00704A9D">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Yönetmeliğin Yayımlandığı Resmî Gazete’nin</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Sayısı</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24/10/2013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28801</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Yönetmelikte Değişiklik Yapan Yönetmeliklerin Yayımlandığı Resmî Gazetelerin</w:t>
            </w:r>
          </w:p>
        </w:tc>
      </w:tr>
      <w:tr w:rsidR="00605FC1" w:rsidRPr="00704A9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5FC1" w:rsidRPr="00704A9D" w:rsidRDefault="00605FC1">
            <w:pPr>
              <w:spacing w:line="240" w:lineRule="auto"/>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b/>
                <w:bCs/>
                <w:color w:val="1C283D"/>
                <w:sz w:val="24"/>
                <w:szCs w:val="24"/>
              </w:rPr>
              <w:t>Sayısı</w:t>
            </w:r>
          </w:p>
        </w:tc>
      </w:tr>
      <w:tr w:rsidR="00605FC1" w:rsidRPr="00704A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ind w:left="397" w:hanging="340"/>
              <w:jc w:val="left"/>
              <w:rPr>
                <w:rFonts w:ascii="Times New Roman" w:hAnsi="Times New Roman"/>
                <w:color w:val="1C283D"/>
                <w:sz w:val="24"/>
                <w:szCs w:val="24"/>
              </w:rPr>
            </w:pPr>
            <w:r w:rsidRPr="00704A9D">
              <w:rPr>
                <w:rFonts w:ascii="Times New Roman" w:hAnsi="Times New Roman"/>
                <w:color w:val="1C283D"/>
                <w:sz w:val="24"/>
                <w:szCs w:val="24"/>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27/8/2014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605FC1">
            <w:pPr>
              <w:spacing w:line="240" w:lineRule="auto"/>
              <w:jc w:val="center"/>
              <w:rPr>
                <w:rFonts w:ascii="Times New Roman" w:hAnsi="Times New Roman"/>
                <w:color w:val="1C283D"/>
                <w:sz w:val="24"/>
                <w:szCs w:val="24"/>
              </w:rPr>
            </w:pPr>
            <w:r w:rsidRPr="00704A9D">
              <w:rPr>
                <w:rFonts w:ascii="Times New Roman" w:hAnsi="Times New Roman"/>
                <w:color w:val="1C283D"/>
                <w:sz w:val="24"/>
                <w:szCs w:val="24"/>
              </w:rPr>
              <w:t>29101</w:t>
            </w:r>
          </w:p>
        </w:tc>
      </w:tr>
      <w:tr w:rsidR="00605FC1" w:rsidRPr="00704A9D">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FC1" w:rsidRPr="00704A9D" w:rsidRDefault="00605FC1">
            <w:pPr>
              <w:spacing w:line="240" w:lineRule="auto"/>
              <w:ind w:left="397" w:hanging="340"/>
              <w:jc w:val="left"/>
              <w:rPr>
                <w:rFonts w:ascii="Times New Roman" w:hAnsi="Times New Roman"/>
                <w:color w:val="1C283D"/>
                <w:sz w:val="24"/>
                <w:szCs w:val="24"/>
              </w:rPr>
            </w:pPr>
            <w:r w:rsidRPr="00704A9D">
              <w:rPr>
                <w:rFonts w:ascii="Times New Roman" w:hAnsi="Times New Roman"/>
                <w:color w:val="1C283D"/>
                <w:sz w:val="24"/>
                <w:szCs w:val="24"/>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AB3C7D">
            <w:pPr>
              <w:spacing w:line="240" w:lineRule="auto"/>
              <w:jc w:val="center"/>
              <w:rPr>
                <w:rFonts w:ascii="Times New Roman" w:hAnsi="Times New Roman"/>
                <w:color w:val="1C283D"/>
                <w:sz w:val="24"/>
                <w:szCs w:val="24"/>
              </w:rPr>
            </w:pPr>
            <w:r>
              <w:rPr>
                <w:rFonts w:ascii="Times New Roman" w:hAnsi="Times New Roman"/>
                <w:color w:val="1C283D"/>
                <w:sz w:val="24"/>
                <w:szCs w:val="24"/>
              </w:rPr>
              <w:t>02/04/2015</w:t>
            </w:r>
            <w:r w:rsidR="00605FC1" w:rsidRPr="00704A9D">
              <w:rPr>
                <w:rFonts w:ascii="Times New Roman" w:hAnsi="Times New Roman"/>
                <w:color w:val="1C283D"/>
                <w:sz w:val="24"/>
                <w:szCs w:val="24"/>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FC1" w:rsidRPr="00704A9D" w:rsidRDefault="00AB3C7D">
            <w:pPr>
              <w:spacing w:line="240" w:lineRule="auto"/>
              <w:jc w:val="center"/>
              <w:rPr>
                <w:rFonts w:ascii="Times New Roman" w:hAnsi="Times New Roman"/>
                <w:color w:val="1C283D"/>
                <w:sz w:val="24"/>
                <w:szCs w:val="24"/>
              </w:rPr>
            </w:pPr>
            <w:r>
              <w:rPr>
                <w:rFonts w:ascii="Times New Roman" w:hAnsi="Times New Roman"/>
                <w:color w:val="1C283D"/>
                <w:sz w:val="24"/>
                <w:szCs w:val="24"/>
              </w:rPr>
              <w:t>29314</w:t>
            </w:r>
            <w:r w:rsidR="00605FC1" w:rsidRPr="00704A9D">
              <w:rPr>
                <w:rFonts w:ascii="Times New Roman" w:hAnsi="Times New Roman"/>
                <w:color w:val="1C283D"/>
                <w:sz w:val="24"/>
                <w:szCs w:val="24"/>
              </w:rPr>
              <w:t> </w:t>
            </w:r>
          </w:p>
        </w:tc>
      </w:tr>
    </w:tbl>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b/>
          <w:bCs/>
          <w:color w:val="1C283D"/>
          <w:sz w:val="24"/>
          <w:szCs w:val="24"/>
        </w:rPr>
        <w:t> </w:t>
      </w:r>
    </w:p>
    <w:p w:rsidR="00605FC1" w:rsidRPr="00704A9D" w:rsidRDefault="00605FC1" w:rsidP="00605FC1">
      <w:pPr>
        <w:spacing w:line="240" w:lineRule="auto"/>
        <w:rPr>
          <w:rFonts w:ascii="Times New Roman" w:hAnsi="Times New Roman"/>
          <w:color w:val="1C283D"/>
          <w:sz w:val="24"/>
          <w:szCs w:val="24"/>
        </w:rPr>
      </w:pPr>
      <w:r w:rsidRPr="00704A9D">
        <w:rPr>
          <w:rFonts w:ascii="Times New Roman" w:hAnsi="Times New Roman"/>
          <w:color w:val="1C283D"/>
          <w:sz w:val="24"/>
          <w:szCs w:val="24"/>
        </w:rPr>
        <w:t> </w:t>
      </w:r>
    </w:p>
    <w:p w:rsidR="00F328BE" w:rsidRPr="00704A9D" w:rsidRDefault="00DF41E6" w:rsidP="00605FC1">
      <w:pPr>
        <w:rPr>
          <w:rFonts w:ascii="Times New Roman" w:hAnsi="Times New Roman"/>
          <w:sz w:val="24"/>
          <w:szCs w:val="24"/>
        </w:rPr>
      </w:pPr>
    </w:p>
    <w:sectPr w:rsidR="00F328BE" w:rsidRPr="00704A9D" w:rsidSect="007D4CBD">
      <w:footerReference w:type="default" r:id="rId6"/>
      <w:pgSz w:w="11906" w:h="16838" w:code="9"/>
      <w:pgMar w:top="1021" w:right="851" w:bottom="680"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E6" w:rsidRDefault="00DF41E6" w:rsidP="007D4CBD">
      <w:pPr>
        <w:spacing w:line="240" w:lineRule="auto"/>
      </w:pPr>
      <w:r>
        <w:separator/>
      </w:r>
    </w:p>
  </w:endnote>
  <w:endnote w:type="continuationSeparator" w:id="0">
    <w:p w:rsidR="00DF41E6" w:rsidRDefault="00DF41E6" w:rsidP="007D4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26901"/>
      <w:docPartObj>
        <w:docPartGallery w:val="Page Numbers (Bottom of Page)"/>
        <w:docPartUnique/>
      </w:docPartObj>
    </w:sdtPr>
    <w:sdtContent>
      <w:p w:rsidR="007D4CBD" w:rsidRDefault="007D4CBD">
        <w:pPr>
          <w:pStyle w:val="Altbilgi"/>
          <w:jc w:val="center"/>
        </w:pPr>
        <w:r>
          <w:fldChar w:fldCharType="begin"/>
        </w:r>
        <w:r>
          <w:instrText>PAGE   \* MERGEFORMAT</w:instrText>
        </w:r>
        <w:r>
          <w:fldChar w:fldCharType="separate"/>
        </w:r>
        <w:r>
          <w:rPr>
            <w:noProof/>
          </w:rPr>
          <w:t>15</w:t>
        </w:r>
        <w:r>
          <w:fldChar w:fldCharType="end"/>
        </w:r>
      </w:p>
    </w:sdtContent>
  </w:sdt>
  <w:p w:rsidR="007D4CBD" w:rsidRDefault="007D4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E6" w:rsidRDefault="00DF41E6" w:rsidP="007D4CBD">
      <w:pPr>
        <w:spacing w:line="240" w:lineRule="auto"/>
      </w:pPr>
      <w:r>
        <w:separator/>
      </w:r>
    </w:p>
  </w:footnote>
  <w:footnote w:type="continuationSeparator" w:id="0">
    <w:p w:rsidR="00DF41E6" w:rsidRDefault="00DF41E6" w:rsidP="007D4C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C1"/>
    <w:rsid w:val="00037DAF"/>
    <w:rsid w:val="00410106"/>
    <w:rsid w:val="004C366F"/>
    <w:rsid w:val="00605FC1"/>
    <w:rsid w:val="00704A9D"/>
    <w:rsid w:val="007D4CBD"/>
    <w:rsid w:val="007F4A27"/>
    <w:rsid w:val="00932B3C"/>
    <w:rsid w:val="00A965B6"/>
    <w:rsid w:val="00AB3C7D"/>
    <w:rsid w:val="00C1752C"/>
    <w:rsid w:val="00DF41E6"/>
    <w:rsid w:val="00EE041C"/>
    <w:rsid w:val="00FA4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01B5D-503F-4539-B53C-6694E5AA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FC1"/>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4CB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D4CBD"/>
    <w:rPr>
      <w:rFonts w:ascii="Calibri" w:eastAsia="Times New Roman" w:hAnsi="Calibri" w:cs="Times New Roman"/>
      <w:lang w:eastAsia="tr-TR"/>
    </w:rPr>
  </w:style>
  <w:style w:type="paragraph" w:styleId="Altbilgi">
    <w:name w:val="footer"/>
    <w:basedOn w:val="Normal"/>
    <w:link w:val="AltbilgiChar"/>
    <w:uiPriority w:val="99"/>
    <w:unhideWhenUsed/>
    <w:rsid w:val="007D4CB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D4CBD"/>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32542">
      <w:bodyDiv w:val="1"/>
      <w:marLeft w:val="0"/>
      <w:marRight w:val="0"/>
      <w:marTop w:val="0"/>
      <w:marBottom w:val="0"/>
      <w:divBdr>
        <w:top w:val="none" w:sz="0" w:space="0" w:color="auto"/>
        <w:left w:val="none" w:sz="0" w:space="0" w:color="auto"/>
        <w:bottom w:val="none" w:sz="0" w:space="0" w:color="auto"/>
        <w:right w:val="none" w:sz="0" w:space="0" w:color="auto"/>
      </w:divBdr>
      <w:divsChild>
        <w:div w:id="675576944">
          <w:marLeft w:val="0"/>
          <w:marRight w:val="0"/>
          <w:marTop w:val="100"/>
          <w:marBottom w:val="100"/>
          <w:divBdr>
            <w:top w:val="none" w:sz="0" w:space="0" w:color="auto"/>
            <w:left w:val="none" w:sz="0" w:space="0" w:color="auto"/>
            <w:bottom w:val="none" w:sz="0" w:space="0" w:color="auto"/>
            <w:right w:val="none" w:sz="0" w:space="0" w:color="auto"/>
          </w:divBdr>
          <w:divsChild>
            <w:div w:id="1842155922">
              <w:marLeft w:val="0"/>
              <w:marRight w:val="0"/>
              <w:marTop w:val="0"/>
              <w:marBottom w:val="0"/>
              <w:divBdr>
                <w:top w:val="none" w:sz="0" w:space="0" w:color="auto"/>
                <w:left w:val="none" w:sz="0" w:space="0" w:color="auto"/>
                <w:bottom w:val="none" w:sz="0" w:space="0" w:color="auto"/>
                <w:right w:val="none" w:sz="0" w:space="0" w:color="auto"/>
              </w:divBdr>
              <w:divsChild>
                <w:div w:id="1522433299">
                  <w:marLeft w:val="0"/>
                  <w:marRight w:val="0"/>
                  <w:marTop w:val="0"/>
                  <w:marBottom w:val="0"/>
                  <w:divBdr>
                    <w:top w:val="none" w:sz="0" w:space="0" w:color="auto"/>
                    <w:left w:val="none" w:sz="0" w:space="0" w:color="auto"/>
                    <w:bottom w:val="none" w:sz="0" w:space="0" w:color="auto"/>
                    <w:right w:val="none" w:sz="0" w:space="0" w:color="auto"/>
                  </w:divBdr>
                  <w:divsChild>
                    <w:div w:id="1237939229">
                      <w:marLeft w:val="0"/>
                      <w:marRight w:val="0"/>
                      <w:marTop w:val="0"/>
                      <w:marBottom w:val="0"/>
                      <w:divBdr>
                        <w:top w:val="none" w:sz="0" w:space="0" w:color="auto"/>
                        <w:left w:val="none" w:sz="0" w:space="0" w:color="auto"/>
                        <w:bottom w:val="single" w:sz="6" w:space="0" w:color="808080"/>
                        <w:right w:val="none" w:sz="0" w:space="0" w:color="auto"/>
                      </w:divBdr>
                    </w:div>
                    <w:div w:id="5859810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7800</Words>
  <Characters>44462</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Ferit Göksu</cp:lastModifiedBy>
  <cp:revision>5</cp:revision>
  <dcterms:created xsi:type="dcterms:W3CDTF">2015-04-02T06:33:00Z</dcterms:created>
  <dcterms:modified xsi:type="dcterms:W3CDTF">2015-06-29T06:38:00Z</dcterms:modified>
</cp:coreProperties>
</file>